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4128" w:rsidR="1F23F065" w:rsidDel="00E04B22" w:rsidP="1F23F065" w:rsidRDefault="007453CC" w14:paraId="200D8FC2" w14:textId="4E9486B1">
      <w:pPr>
        <w:jc w:val="center"/>
        <w:rPr>
          <w:rFonts w:ascii="Calibri" w:hAnsi="Calibri" w:eastAsia="Calibri" w:cs="Calibri"/>
          <w:color w:val="000000" w:themeColor="text1"/>
        </w:rPr>
      </w:pPr>
      <w:r w:rsidRPr="00FC4128">
        <w:rPr>
          <w:rStyle w:val="CharacterStyle2"/>
          <w:rFonts w:ascii="Calibri" w:hAnsi="Calibri" w:eastAsia="Calibri" w:cs="Calibri"/>
          <w:b/>
          <w:bCs/>
          <w:color w:val="000000" w:themeColor="text1"/>
          <w:sz w:val="24"/>
        </w:rPr>
        <w:t>Air Quality</w:t>
      </w:r>
      <w:r w:rsidRPr="00FC4128" w:rsidR="1F23F065">
        <w:rPr>
          <w:rStyle w:val="CharacterStyle2"/>
          <w:rFonts w:ascii="Calibri" w:hAnsi="Calibri" w:eastAsia="Calibri" w:cs="Calibri"/>
          <w:b/>
          <w:bCs/>
          <w:color w:val="000000" w:themeColor="text1"/>
          <w:sz w:val="24"/>
        </w:rPr>
        <w:t xml:space="preserve"> Part 11 </w:t>
      </w:r>
      <w:r w:rsidRPr="00FC4128" w:rsidR="00837643">
        <w:rPr>
          <w:rStyle w:val="CharacterStyle2"/>
          <w:rFonts w:ascii="Calibri" w:hAnsi="Calibri" w:eastAsia="Calibri" w:cs="Calibri"/>
          <w:b/>
          <w:bCs/>
          <w:color w:val="000000" w:themeColor="text1"/>
          <w:sz w:val="24"/>
        </w:rPr>
        <w:t xml:space="preserve">Model </w:t>
      </w:r>
      <w:r w:rsidRPr="00FC4128" w:rsidR="1F23F065">
        <w:rPr>
          <w:rStyle w:val="CharacterStyle2"/>
          <w:rFonts w:ascii="Calibri" w:hAnsi="Calibri" w:eastAsia="Calibri" w:cs="Calibri"/>
          <w:b/>
          <w:bCs/>
          <w:color w:val="000000" w:themeColor="text1"/>
          <w:sz w:val="24"/>
        </w:rPr>
        <w:t>Reach Code</w:t>
      </w:r>
    </w:p>
    <w:p w:rsidRPr="00FC4128" w:rsidR="1F23F065" w:rsidDel="00E04B22" w:rsidP="79BE49CE" w:rsidRDefault="1F23F065" w14:paraId="6AEE54E4" w14:textId="2C9B11A7">
      <w:pPr>
        <w:rPr>
          <w:rStyle w:val="CharacterStyle2"/>
          <w:sz w:val="24"/>
        </w:rPr>
      </w:pPr>
    </w:p>
    <w:p w:rsidRPr="00FC4128" w:rsidR="00E95BAD" w:rsidDel="00E04B22" w:rsidP="4B8DCA53" w:rsidRDefault="4B8DCA53" w14:paraId="1094BBB8" w14:textId="6E793CC9">
      <w:pPr>
        <w:rPr>
          <w:rStyle w:val="CharacterStyle2"/>
          <w:rFonts w:asciiTheme="minorHAnsi" w:hAnsiTheme="minorHAnsi" w:cstheme="minorBidi"/>
          <w:sz w:val="24"/>
        </w:rPr>
      </w:pPr>
      <w:r w:rsidRPr="00FC4128">
        <w:rPr>
          <w:rStyle w:val="CharacterStyle2"/>
          <w:rFonts w:eastAsia="Times New Roman" w:asciiTheme="minorHAnsi" w:hAnsiTheme="minorHAnsi" w:cstheme="minorBidi"/>
          <w:sz w:val="24"/>
        </w:rPr>
        <w:t>Peninsula Clean Energy (PCE) and Silicon Valley Clean Energy (SVCE) provide the Air Quality Part 11 Model Rea</w:t>
      </w:r>
      <w:r w:rsidRPr="00FC4128">
        <w:rPr>
          <w:rStyle w:val="CharacterStyle2"/>
          <w:rFonts w:asciiTheme="minorHAnsi" w:hAnsiTheme="minorHAnsi" w:cstheme="minorBidi"/>
          <w:sz w:val="24"/>
        </w:rPr>
        <w:t xml:space="preserve">ch Code. </w:t>
      </w:r>
      <w:r w:rsidRPr="00FC4128">
        <w:rPr>
          <w:rStyle w:val="CharacterStyle2"/>
          <w:rFonts w:asciiTheme="minorHAnsi" w:hAnsiTheme="minorHAnsi" w:cstheme="minorBidi"/>
          <w:sz w:val="24"/>
          <w:u w:val="single"/>
        </w:rPr>
        <w:t>Additions are underlined</w:t>
      </w:r>
      <w:r w:rsidRPr="00FC4128">
        <w:rPr>
          <w:rStyle w:val="CharacterStyle2"/>
          <w:rFonts w:asciiTheme="minorHAnsi" w:hAnsiTheme="minorHAnsi" w:cstheme="minorBidi"/>
          <w:sz w:val="24"/>
        </w:rPr>
        <w:t xml:space="preserve">, </w:t>
      </w:r>
      <w:r w:rsidRPr="00FC4128">
        <w:rPr>
          <w:rStyle w:val="CharacterStyle2"/>
          <w:rFonts w:asciiTheme="minorHAnsi" w:hAnsiTheme="minorHAnsi" w:cstheme="minorBidi"/>
          <w:strike/>
          <w:sz w:val="24"/>
        </w:rPr>
        <w:t>deletions are stricken through</w:t>
      </w:r>
      <w:r w:rsidRPr="00FC4128">
        <w:rPr>
          <w:rStyle w:val="CharacterStyle2"/>
          <w:rFonts w:asciiTheme="minorHAnsi" w:hAnsiTheme="minorHAnsi" w:cstheme="minorBidi"/>
          <w:sz w:val="24"/>
        </w:rPr>
        <w:t>, and comments explain the rationale or edits needed by jurisdiction.</w:t>
      </w:r>
    </w:p>
    <w:p w:rsidRPr="00FC4128" w:rsidR="64443D59" w:rsidDel="00E04B22" w:rsidP="4B8DCA53" w:rsidRDefault="64443D59" w14:paraId="2FB6095C" w14:textId="4C39A458">
      <w:pPr>
        <w:rPr>
          <w:rStyle w:val="CharacterStyle2"/>
          <w:rFonts w:asciiTheme="minorHAnsi" w:hAnsiTheme="minorHAnsi" w:cstheme="minorBidi"/>
          <w:sz w:val="24"/>
        </w:rPr>
      </w:pPr>
    </w:p>
    <w:tbl>
      <w:tblPr>
        <w:tblStyle w:val="TableGrid"/>
        <w:tblW w:w="0" w:type="auto"/>
        <w:tblLook w:val="04A0" w:firstRow="1" w:lastRow="0" w:firstColumn="1" w:lastColumn="0" w:noHBand="0" w:noVBand="1"/>
      </w:tblPr>
      <w:tblGrid>
        <w:gridCol w:w="4675"/>
        <w:gridCol w:w="4675"/>
      </w:tblGrid>
      <w:tr w:rsidRPr="00FC4128" w:rsidR="00E95BAD" w:rsidDel="00E04B22" w:rsidTr="4B8DCA53" w14:paraId="12F1CD0C" w14:textId="41129555">
        <w:trPr>
          <w:trHeight w:val="300"/>
        </w:trPr>
        <w:tc>
          <w:tcPr>
            <w:tcW w:w="4675" w:type="dxa"/>
          </w:tcPr>
          <w:p w:rsidRPr="00FC4128" w:rsidR="00E95BAD" w:rsidDel="00E04B22" w:rsidP="4B8DCA53" w:rsidRDefault="4B8DCA53" w14:paraId="6B2A9F16" w14:textId="7FAEE302">
            <w:pPr>
              <w:jc w:val="center"/>
              <w:rPr>
                <w:rStyle w:val="CharacterStyle2"/>
                <w:rFonts w:asciiTheme="minorHAnsi" w:hAnsiTheme="minorHAnsi" w:cstheme="minorBidi"/>
                <w:b/>
                <w:bCs/>
                <w:sz w:val="24"/>
              </w:rPr>
            </w:pPr>
            <w:r w:rsidRPr="00FC4128">
              <w:rPr>
                <w:rStyle w:val="CharacterStyle2"/>
                <w:rFonts w:asciiTheme="minorHAnsi" w:hAnsiTheme="minorHAnsi" w:cstheme="minorBidi"/>
                <w:b/>
                <w:bCs/>
                <w:sz w:val="24"/>
              </w:rPr>
              <w:t>Version Date</w:t>
            </w:r>
          </w:p>
        </w:tc>
        <w:tc>
          <w:tcPr>
            <w:tcW w:w="4675" w:type="dxa"/>
          </w:tcPr>
          <w:p w:rsidRPr="00FC4128" w:rsidR="00E95BAD" w:rsidDel="00E04B22" w:rsidP="4B8DCA53" w:rsidRDefault="4B8DCA53" w14:paraId="5D25EC94" w14:textId="22F2361C">
            <w:pPr>
              <w:jc w:val="center"/>
              <w:rPr>
                <w:rStyle w:val="CharacterStyle2"/>
                <w:rFonts w:asciiTheme="minorHAnsi" w:hAnsiTheme="minorHAnsi" w:cstheme="minorBidi"/>
                <w:b/>
                <w:bCs/>
                <w:sz w:val="24"/>
              </w:rPr>
            </w:pPr>
            <w:r w:rsidRPr="00FC4128">
              <w:rPr>
                <w:rStyle w:val="CharacterStyle2"/>
                <w:rFonts w:asciiTheme="minorHAnsi" w:hAnsiTheme="minorHAnsi" w:cstheme="minorBidi"/>
                <w:b/>
                <w:bCs/>
                <w:sz w:val="24"/>
              </w:rPr>
              <w:t>Summary of Updates</w:t>
            </w:r>
          </w:p>
        </w:tc>
      </w:tr>
      <w:tr w:rsidRPr="00FC4128" w:rsidR="00E95BAD" w:rsidDel="00E04B22" w:rsidTr="4B8DCA53" w14:paraId="32079F2D" w14:textId="443E2F91">
        <w:trPr>
          <w:trHeight w:val="300"/>
        </w:trPr>
        <w:tc>
          <w:tcPr>
            <w:tcW w:w="4675" w:type="dxa"/>
          </w:tcPr>
          <w:p w:rsidRPr="00FC4128" w:rsidR="00E95BAD" w:rsidDel="00E04B22" w:rsidP="4B8DCA53" w:rsidRDefault="4B8DCA53" w14:paraId="615412AF" w14:textId="7245A53D">
            <w:pPr>
              <w:jc w:val="center"/>
              <w:rPr>
                <w:rStyle w:val="CharacterStyle2"/>
                <w:rFonts w:asciiTheme="minorHAnsi" w:hAnsiTheme="minorHAnsi" w:cstheme="minorBidi"/>
                <w:sz w:val="24"/>
              </w:rPr>
            </w:pPr>
            <w:r w:rsidRPr="00FC4128">
              <w:rPr>
                <w:rStyle w:val="CharacterStyle2"/>
                <w:rFonts w:asciiTheme="minorHAnsi" w:hAnsiTheme="minorHAnsi" w:cstheme="minorBidi"/>
                <w:sz w:val="24"/>
              </w:rPr>
              <w:t>March 8, 2024</w:t>
            </w:r>
          </w:p>
        </w:tc>
        <w:tc>
          <w:tcPr>
            <w:tcW w:w="4675" w:type="dxa"/>
          </w:tcPr>
          <w:p w:rsidRPr="00FC4128" w:rsidR="00E95BAD" w:rsidDel="00E04B22" w:rsidP="4B8DCA53" w:rsidRDefault="4B8DCA53" w14:paraId="715DAECB" w14:textId="7B248CE5">
            <w:pPr>
              <w:jc w:val="center"/>
              <w:rPr>
                <w:rStyle w:val="CharacterStyle2"/>
                <w:rFonts w:asciiTheme="minorHAnsi" w:hAnsiTheme="minorHAnsi" w:cstheme="minorBidi"/>
                <w:sz w:val="24"/>
              </w:rPr>
            </w:pPr>
            <w:r w:rsidRPr="00FC4128">
              <w:rPr>
                <w:rStyle w:val="CharacterStyle2"/>
                <w:rFonts w:asciiTheme="minorHAnsi" w:hAnsiTheme="minorHAnsi" w:cstheme="minorBidi"/>
                <w:sz w:val="24"/>
              </w:rPr>
              <w:t>1</w:t>
            </w:r>
            <w:r w:rsidRPr="00FC4128">
              <w:rPr>
                <w:rStyle w:val="CharacterStyle2"/>
                <w:rFonts w:asciiTheme="minorHAnsi" w:hAnsiTheme="minorHAnsi" w:cstheme="minorBidi"/>
                <w:sz w:val="24"/>
                <w:vertAlign w:val="superscript"/>
              </w:rPr>
              <w:t>st</w:t>
            </w:r>
            <w:r w:rsidRPr="00FC4128">
              <w:rPr>
                <w:rStyle w:val="CharacterStyle2"/>
                <w:rFonts w:asciiTheme="minorHAnsi" w:hAnsiTheme="minorHAnsi" w:cstheme="minorBidi"/>
                <w:sz w:val="24"/>
              </w:rPr>
              <w:t xml:space="preserve"> Draft</w:t>
            </w:r>
          </w:p>
        </w:tc>
      </w:tr>
      <w:tr w:rsidRPr="00FC4128" w:rsidR="004A6C46" w:rsidDel="00E04B22" w:rsidTr="4B8DCA53" w14:paraId="016540FB" w14:textId="77777777">
        <w:trPr>
          <w:trHeight w:val="300"/>
        </w:trPr>
        <w:tc>
          <w:tcPr>
            <w:tcW w:w="4675" w:type="dxa"/>
          </w:tcPr>
          <w:p w:rsidRPr="00FC4128" w:rsidR="004A6C46" w:rsidP="4B8DCA53" w:rsidRDefault="004A6C46" w14:paraId="6C920D54" w14:textId="1837B520">
            <w:pPr>
              <w:jc w:val="center"/>
              <w:rPr>
                <w:rStyle w:val="CharacterStyle2"/>
                <w:rFonts w:asciiTheme="minorHAnsi" w:hAnsiTheme="minorHAnsi" w:cstheme="minorBidi"/>
                <w:sz w:val="24"/>
              </w:rPr>
            </w:pPr>
            <w:r w:rsidRPr="00FC4128">
              <w:rPr>
                <w:rStyle w:val="CharacterStyle2"/>
                <w:rFonts w:asciiTheme="minorHAnsi" w:hAnsiTheme="minorHAnsi" w:cstheme="minorBidi"/>
                <w:sz w:val="24"/>
              </w:rPr>
              <w:t>April 3, 2024</w:t>
            </w:r>
          </w:p>
        </w:tc>
        <w:tc>
          <w:tcPr>
            <w:tcW w:w="4675" w:type="dxa"/>
          </w:tcPr>
          <w:p w:rsidRPr="00FC4128" w:rsidR="004A6C46" w:rsidP="4B8DCA53" w:rsidRDefault="004A6C46" w14:paraId="3A1637BE" w14:textId="0C27DCB5">
            <w:pPr>
              <w:jc w:val="center"/>
              <w:rPr>
                <w:rStyle w:val="CharacterStyle2"/>
                <w:rFonts w:asciiTheme="minorHAnsi" w:hAnsiTheme="minorHAnsi" w:cstheme="minorBidi"/>
                <w:sz w:val="24"/>
              </w:rPr>
            </w:pPr>
            <w:r w:rsidRPr="00FC4128">
              <w:rPr>
                <w:rStyle w:val="CharacterStyle2"/>
                <w:rFonts w:asciiTheme="minorHAnsi" w:hAnsiTheme="minorHAnsi" w:cstheme="minorBidi"/>
                <w:sz w:val="24"/>
              </w:rPr>
              <w:t>Added findings</w:t>
            </w:r>
            <w:r w:rsidRPr="00FC4128" w:rsidR="00131631">
              <w:rPr>
                <w:rStyle w:val="CharacterStyle2"/>
                <w:rFonts w:asciiTheme="minorHAnsi" w:hAnsiTheme="minorHAnsi" w:cstheme="minorBidi"/>
                <w:sz w:val="24"/>
              </w:rPr>
              <w:t xml:space="preserve"> for reference</w:t>
            </w:r>
          </w:p>
        </w:tc>
      </w:tr>
    </w:tbl>
    <w:p w:rsidRPr="00FC4128" w:rsidR="00236A22" w:rsidP="4B8DCA53" w:rsidRDefault="00236A22" w14:paraId="3F767369" w14:textId="77777777">
      <w:pPr>
        <w:pBdr>
          <w:bottom w:val="single" w:color="auto" w:sz="6" w:space="1"/>
        </w:pBdr>
        <w:rPr>
          <w:rFonts w:asciiTheme="minorHAnsi" w:hAnsiTheme="minorHAnsi" w:cstheme="minorBidi"/>
          <w:b/>
          <w:bCs/>
        </w:rPr>
      </w:pPr>
    </w:p>
    <w:p w:rsidRPr="00FC4128" w:rsidR="00131631" w:rsidP="00684E0F" w:rsidRDefault="00131631" w14:paraId="0A9B05D9" w14:textId="77777777">
      <w:pPr>
        <w:jc w:val="center"/>
        <w:rPr>
          <w:rFonts w:asciiTheme="minorHAnsi" w:hAnsiTheme="minorHAnsi" w:cstheme="minorBidi"/>
          <w:b/>
          <w:bCs/>
        </w:rPr>
      </w:pPr>
    </w:p>
    <w:p w:rsidRPr="00FC4128" w:rsidR="00684E0F" w:rsidP="00FC4128" w:rsidRDefault="00684E0F" w14:paraId="05C24564" w14:textId="3D0DEBE7">
      <w:pPr>
        <w:pStyle w:val="Heading1"/>
        <w:jc w:val="center"/>
        <w:rPr>
          <w:u w:val="none"/>
        </w:rPr>
      </w:pPr>
      <w:r>
        <w:rPr>
          <w:u w:val="none"/>
        </w:rPr>
        <w:t>ORDINANCE NUMBER</w:t>
      </w:r>
      <w:r w:rsidR="3D4297ED">
        <w:rPr>
          <w:u w:val="none"/>
        </w:rPr>
        <w:t xml:space="preserve"> X</w:t>
      </w:r>
    </w:p>
    <w:p w:rsidRPr="00FC4128" w:rsidR="00684E0F" w:rsidP="00684E0F" w:rsidRDefault="00684E0F" w14:paraId="28037DA6" w14:textId="77777777">
      <w:pPr>
        <w:jc w:val="center"/>
        <w:rPr>
          <w:rFonts w:asciiTheme="minorHAnsi" w:hAnsiTheme="minorHAnsi" w:cstheme="minorBidi"/>
          <w:b/>
          <w:bCs/>
        </w:rPr>
      </w:pPr>
    </w:p>
    <w:p w:rsidRPr="00FC4128" w:rsidR="00131631" w:rsidP="10A27D8C" w:rsidRDefault="00684E0F" w14:paraId="2D17D94D" w14:textId="4AD9BF7B">
      <w:pPr>
        <w:jc w:val="center"/>
        <w:rPr>
          <w:rFonts w:asciiTheme="minorHAnsi" w:hAnsiTheme="minorHAnsi" w:cstheme="minorBidi"/>
        </w:rPr>
      </w:pPr>
      <w:r w:rsidRPr="10A27D8C">
        <w:rPr>
          <w:rFonts w:asciiTheme="minorHAnsi" w:hAnsiTheme="minorHAnsi" w:cstheme="minorBidi"/>
        </w:rPr>
        <w:t xml:space="preserve">AMENDING </w:t>
      </w:r>
      <w:r w:rsidRPr="003D4C47" w:rsidR="003D4C47">
        <w:rPr>
          <w:rFonts w:asciiTheme="minorHAnsi" w:hAnsiTheme="minorHAnsi" w:cstheme="minorBidi"/>
          <w:highlight w:val="lightGray"/>
        </w:rPr>
        <w:t>[</w:t>
      </w:r>
      <w:r w:rsidRPr="003D4C47">
        <w:rPr>
          <w:rFonts w:asciiTheme="minorHAnsi" w:hAnsiTheme="minorHAnsi" w:cstheme="minorBidi"/>
          <w:highlight w:val="lightGray"/>
        </w:rPr>
        <w:t xml:space="preserve">CHAPTER </w:t>
      </w:r>
      <w:r w:rsidRPr="003D4C47" w:rsidR="003D4C47">
        <w:rPr>
          <w:rFonts w:asciiTheme="minorHAnsi" w:hAnsiTheme="minorHAnsi" w:cstheme="minorBidi"/>
          <w:highlight w:val="lightGray"/>
        </w:rPr>
        <w:t>X.X]</w:t>
      </w:r>
      <w:r w:rsidRPr="10A27D8C">
        <w:rPr>
          <w:rFonts w:asciiTheme="minorHAnsi" w:hAnsiTheme="minorHAnsi" w:cstheme="minorBidi"/>
        </w:rPr>
        <w:t xml:space="preserve"> (GREEN BUILDING STANDARDS CODE) OF </w:t>
      </w:r>
      <w:r w:rsidRPr="003D4C47" w:rsidR="003D4C47">
        <w:rPr>
          <w:rFonts w:asciiTheme="minorHAnsi" w:hAnsiTheme="minorHAnsi" w:cstheme="minorBidi"/>
          <w:highlight w:val="lightGray"/>
        </w:rPr>
        <w:t>[</w:t>
      </w:r>
      <w:r w:rsidRPr="003D4C47">
        <w:rPr>
          <w:rFonts w:asciiTheme="minorHAnsi" w:hAnsiTheme="minorHAnsi" w:cstheme="minorBidi"/>
          <w:highlight w:val="lightGray"/>
        </w:rPr>
        <w:t xml:space="preserve">TITLE </w:t>
      </w:r>
      <w:r w:rsidRPr="003D4C47" w:rsidR="003D4C47">
        <w:rPr>
          <w:rFonts w:asciiTheme="minorHAnsi" w:hAnsiTheme="minorHAnsi" w:cstheme="minorBidi"/>
          <w:highlight w:val="lightGray"/>
        </w:rPr>
        <w:t>X]</w:t>
      </w:r>
      <w:r w:rsidRPr="10A27D8C" w:rsidR="00131631">
        <w:rPr>
          <w:rFonts w:asciiTheme="minorHAnsi" w:hAnsiTheme="minorHAnsi" w:cstheme="minorBidi"/>
        </w:rPr>
        <w:t xml:space="preserve"> </w:t>
      </w:r>
      <w:r w:rsidRPr="10A27D8C">
        <w:rPr>
          <w:rFonts w:asciiTheme="minorHAnsi" w:hAnsiTheme="minorHAnsi" w:cstheme="minorBidi"/>
        </w:rPr>
        <w:t xml:space="preserve">OF THE </w:t>
      </w:r>
    </w:p>
    <w:p w:rsidRPr="00FC4128" w:rsidR="00131631" w:rsidP="10A27D8C" w:rsidRDefault="004B38DE" w14:paraId="5CF71B29" w14:textId="77777777">
      <w:pPr>
        <w:jc w:val="center"/>
        <w:rPr>
          <w:rFonts w:asciiTheme="minorHAnsi" w:hAnsiTheme="minorHAnsi" w:cstheme="minorBidi"/>
        </w:rPr>
      </w:pPr>
      <w:r w:rsidRPr="003D4C47">
        <w:rPr>
          <w:rFonts w:asciiTheme="minorHAnsi" w:hAnsiTheme="minorHAnsi" w:cstheme="minorBidi"/>
          <w:highlight w:val="lightGray"/>
        </w:rPr>
        <w:t>[CODE NAME]</w:t>
      </w:r>
      <w:r w:rsidRPr="10A27D8C" w:rsidR="00684E0F">
        <w:rPr>
          <w:rFonts w:asciiTheme="minorHAnsi" w:hAnsiTheme="minorHAnsi" w:cstheme="minorBidi"/>
        </w:rPr>
        <w:t xml:space="preserve"> AND ADOPT</w:t>
      </w:r>
      <w:r w:rsidRPr="10A27D8C" w:rsidR="00131631">
        <w:rPr>
          <w:rFonts w:asciiTheme="minorHAnsi" w:hAnsiTheme="minorHAnsi" w:cstheme="minorBidi"/>
        </w:rPr>
        <w:t xml:space="preserve"> </w:t>
      </w:r>
      <w:r w:rsidRPr="10A27D8C" w:rsidR="00684E0F">
        <w:rPr>
          <w:rFonts w:asciiTheme="minorHAnsi" w:hAnsiTheme="minorHAnsi" w:cstheme="minorBidi"/>
        </w:rPr>
        <w:t xml:space="preserve">REGULATIONS THAT REQUIRE NEW RESIDENTIAL BUILDINGS </w:t>
      </w:r>
    </w:p>
    <w:p w:rsidRPr="00FC4128" w:rsidR="00131631" w:rsidP="00131631" w:rsidRDefault="00684E0F" w14:paraId="16660B5D" w14:textId="77777777">
      <w:pPr>
        <w:jc w:val="center"/>
        <w:rPr>
          <w:rFonts w:asciiTheme="minorHAnsi" w:hAnsiTheme="minorHAnsi" w:cstheme="minorBidi"/>
        </w:rPr>
      </w:pPr>
      <w:r w:rsidRPr="00FC4128">
        <w:rPr>
          <w:rFonts w:asciiTheme="minorHAnsi" w:hAnsiTheme="minorHAnsi" w:cstheme="minorBidi"/>
        </w:rPr>
        <w:t>AND SUBSTANTIALLY</w:t>
      </w:r>
      <w:r w:rsidRPr="00FC4128" w:rsidR="00131631">
        <w:rPr>
          <w:rFonts w:asciiTheme="minorHAnsi" w:hAnsiTheme="minorHAnsi" w:cstheme="minorBidi"/>
        </w:rPr>
        <w:t xml:space="preserve"> </w:t>
      </w:r>
      <w:r w:rsidRPr="00FC4128">
        <w:rPr>
          <w:rFonts w:asciiTheme="minorHAnsi" w:hAnsiTheme="minorHAnsi" w:cstheme="minorBidi"/>
        </w:rPr>
        <w:t xml:space="preserve">ALTERED EXISTING RESIDENTIAL BUILDINGS TO BE CONSTRUCTED </w:t>
      </w:r>
    </w:p>
    <w:p w:rsidRPr="00FC4128" w:rsidR="00684E0F" w:rsidP="00131631" w:rsidRDefault="00684E0F" w14:paraId="7053E28A" w14:textId="55576FBA">
      <w:pPr>
        <w:jc w:val="center"/>
        <w:rPr>
          <w:rFonts w:asciiTheme="minorHAnsi" w:hAnsiTheme="minorHAnsi" w:cstheme="minorBidi"/>
        </w:rPr>
      </w:pPr>
      <w:r w:rsidRPr="00FC4128">
        <w:rPr>
          <w:rFonts w:asciiTheme="minorHAnsi" w:hAnsiTheme="minorHAnsi" w:cstheme="minorBidi"/>
        </w:rPr>
        <w:t>WITH ZERO NOx</w:t>
      </w:r>
      <w:r w:rsidRPr="00FC4128" w:rsidR="00131631">
        <w:rPr>
          <w:rFonts w:asciiTheme="minorHAnsi" w:hAnsiTheme="minorHAnsi" w:cstheme="minorBidi"/>
        </w:rPr>
        <w:t xml:space="preserve"> </w:t>
      </w:r>
      <w:r w:rsidRPr="00FC4128">
        <w:rPr>
          <w:rFonts w:asciiTheme="minorHAnsi" w:hAnsiTheme="minorHAnsi" w:cstheme="minorBidi"/>
        </w:rPr>
        <w:t>EMISSION EQUIPMENT</w:t>
      </w:r>
    </w:p>
    <w:p w:rsidRPr="00FC4128" w:rsidR="00684E0F" w:rsidP="00684E0F" w:rsidRDefault="00684E0F" w14:paraId="2D5EA5E9" w14:textId="77777777">
      <w:pPr>
        <w:rPr>
          <w:rFonts w:asciiTheme="minorHAnsi" w:hAnsiTheme="minorHAnsi" w:cstheme="minorBidi"/>
          <w:b/>
          <w:bCs/>
        </w:rPr>
      </w:pPr>
    </w:p>
    <w:p w:rsidR="005343CE" w:rsidP="10A27D8C" w:rsidRDefault="005343CE" w14:paraId="1DFD3B85" w14:textId="77777777">
      <w:pPr>
        <w:rPr>
          <w:rFonts w:asciiTheme="minorHAnsi" w:hAnsiTheme="minorHAnsi" w:cstheme="minorBidi"/>
          <w:b/>
          <w:bCs/>
        </w:rPr>
      </w:pPr>
    </w:p>
    <w:p w:rsidRPr="005343CE" w:rsidR="005343CE" w:rsidP="005343CE" w:rsidRDefault="005343CE" w14:paraId="4BF8B06C" w14:textId="02D2D594">
      <w:pPr>
        <w:rPr>
          <w:rFonts w:asciiTheme="minorHAnsi" w:hAnsiTheme="minorHAnsi" w:cstheme="minorBidi"/>
          <w:b/>
          <w:bCs/>
        </w:rPr>
      </w:pPr>
      <w:commentRangeStart w:id="0"/>
      <w:r w:rsidRPr="005343CE">
        <w:rPr>
          <w:rFonts w:asciiTheme="minorHAnsi" w:hAnsiTheme="minorHAnsi" w:cstheme="minorBidi"/>
          <w:b/>
          <w:bCs/>
        </w:rPr>
        <w:t xml:space="preserve">WHEREAS, </w:t>
      </w:r>
      <w:commentRangeEnd w:id="0"/>
      <w:r w:rsidR="001B68CD">
        <w:rPr>
          <w:rStyle w:val="CommentReference"/>
          <w:rFonts w:ascii="Calibri" w:hAnsi="Calibri"/>
          <w:szCs w:val="20"/>
        </w:rPr>
        <w:commentReference w:id="0"/>
      </w:r>
      <w:r w:rsidRPr="005343CE">
        <w:rPr>
          <w:rFonts w:asciiTheme="minorHAnsi" w:hAnsiTheme="minorHAnsi" w:cstheme="minorBidi"/>
        </w:rPr>
        <w:t>the Federal Clean Air Act authorizes required the Federal Environmental Protection Agency to establish federal air quality standards to protect public health and public welfare and to regulate emissions of hazardous air pollutants; and</w:t>
      </w:r>
    </w:p>
    <w:p w:rsidR="005343CE" w:rsidP="005343CE" w:rsidRDefault="005343CE" w14:paraId="0D29F2AB" w14:textId="77777777">
      <w:pPr>
        <w:rPr>
          <w:rFonts w:asciiTheme="minorHAnsi" w:hAnsiTheme="minorHAnsi" w:cstheme="minorBidi"/>
          <w:b/>
          <w:bCs/>
        </w:rPr>
      </w:pPr>
    </w:p>
    <w:p w:rsidRPr="005343CE" w:rsidR="005343CE" w:rsidP="005343CE" w:rsidRDefault="005343CE" w14:paraId="1E94F9AD" w14:textId="1BE2114E">
      <w:pPr>
        <w:rPr>
          <w:rFonts w:asciiTheme="minorHAnsi" w:hAnsiTheme="minorHAnsi" w:cstheme="minorBidi"/>
          <w:b/>
          <w:bCs/>
        </w:rPr>
      </w:pPr>
      <w:r w:rsidRPr="005343CE">
        <w:rPr>
          <w:rFonts w:asciiTheme="minorHAnsi" w:hAnsiTheme="minorHAnsi" w:cstheme="minorBidi"/>
          <w:b/>
          <w:bCs/>
        </w:rPr>
        <w:t xml:space="preserve">WHEREAS, </w:t>
      </w:r>
      <w:r w:rsidRPr="00A91D4F" w:rsidR="00A91D4F">
        <w:rPr>
          <w:rFonts w:asciiTheme="minorHAnsi" w:hAnsiTheme="minorHAnsi" w:cstheme="minorBidi"/>
        </w:rPr>
        <w:t>Nitrogen Dioxide and ozone are two of the six criteria air pollutants explicitly addressed in the Federal Clean Air Act; and</w:t>
      </w:r>
    </w:p>
    <w:p w:rsidR="005343CE" w:rsidP="005343CE" w:rsidRDefault="005343CE" w14:paraId="6EAA2058" w14:textId="77777777">
      <w:pPr>
        <w:rPr>
          <w:rFonts w:asciiTheme="minorHAnsi" w:hAnsiTheme="minorHAnsi" w:cstheme="minorBidi"/>
          <w:b/>
          <w:bCs/>
        </w:rPr>
      </w:pPr>
    </w:p>
    <w:p w:rsidR="005343CE" w:rsidP="005343CE" w:rsidRDefault="005343CE" w14:paraId="543B1E8A" w14:textId="35AAA5DF">
      <w:pPr>
        <w:rPr>
          <w:rFonts w:asciiTheme="minorHAnsi" w:hAnsiTheme="minorHAnsi" w:cstheme="minorBidi"/>
          <w:b/>
          <w:bCs/>
        </w:rPr>
      </w:pPr>
      <w:r w:rsidRPr="005343CE">
        <w:rPr>
          <w:rFonts w:asciiTheme="minorHAnsi" w:hAnsiTheme="minorHAnsi" w:cstheme="minorBidi"/>
          <w:b/>
          <w:bCs/>
        </w:rPr>
        <w:t xml:space="preserve">WHEREAS, </w:t>
      </w:r>
      <w:r w:rsidRPr="005343CE">
        <w:rPr>
          <w:rFonts w:asciiTheme="minorHAnsi" w:hAnsiTheme="minorHAnsi" w:cstheme="minorBidi"/>
        </w:rPr>
        <w:t>Congress finds that air pollution prevention (that is, the reduction or elimination, through any measures, of the amount of pollutants produced or created at the source) and air pollution control at its source is the primary responsibility of States and local governments; and</w:t>
      </w:r>
    </w:p>
    <w:p w:rsidRPr="005343CE" w:rsidR="005343CE" w:rsidP="005343CE" w:rsidRDefault="005343CE" w14:paraId="0627F40D" w14:textId="77777777">
      <w:pPr>
        <w:rPr>
          <w:rFonts w:asciiTheme="minorHAnsi" w:hAnsiTheme="minorHAnsi" w:cstheme="minorBidi"/>
          <w:b/>
          <w:bCs/>
        </w:rPr>
      </w:pPr>
    </w:p>
    <w:p w:rsidR="005343CE" w:rsidP="005343CE" w:rsidRDefault="005343CE" w14:paraId="7B0F72EA" w14:textId="7C9E976B">
      <w:pPr>
        <w:rPr>
          <w:rFonts w:asciiTheme="minorHAnsi" w:hAnsiTheme="minorHAnsi" w:cstheme="minorBidi"/>
          <w:b/>
          <w:bCs/>
        </w:rPr>
      </w:pPr>
      <w:r w:rsidRPr="005343CE">
        <w:rPr>
          <w:rFonts w:asciiTheme="minorHAnsi" w:hAnsiTheme="minorHAnsi" w:cstheme="minorBidi"/>
          <w:b/>
          <w:bCs/>
        </w:rPr>
        <w:t xml:space="preserve">WHEREAS, </w:t>
      </w:r>
      <w:r w:rsidRPr="005343CE">
        <w:rPr>
          <w:rFonts w:asciiTheme="minorHAnsi" w:hAnsiTheme="minorHAnsi" w:cstheme="minorBidi"/>
        </w:rPr>
        <w:t>pursuant to the California Clean Air Act Law, the California Air Resources Board regulates mobile sources of pollution while local and regional authorities are responsible for controlling air pollution from other sources; and</w:t>
      </w:r>
    </w:p>
    <w:p w:rsidRPr="005343CE" w:rsidR="005343CE" w:rsidP="005343CE" w:rsidRDefault="005343CE" w14:paraId="3F9C4B28" w14:textId="77777777">
      <w:pPr>
        <w:rPr>
          <w:rFonts w:asciiTheme="minorHAnsi" w:hAnsiTheme="minorHAnsi" w:cstheme="minorBidi"/>
          <w:b/>
          <w:bCs/>
        </w:rPr>
      </w:pPr>
    </w:p>
    <w:p w:rsidR="005343CE" w:rsidP="005343CE" w:rsidRDefault="005343CE" w14:paraId="1AB87299" w14:textId="5CEB67E3">
      <w:pPr>
        <w:rPr>
          <w:rFonts w:asciiTheme="minorHAnsi" w:hAnsiTheme="minorHAnsi" w:cstheme="minorBidi"/>
          <w:b/>
          <w:bCs/>
        </w:rPr>
      </w:pPr>
      <w:r w:rsidRPr="005343CE">
        <w:rPr>
          <w:rFonts w:asciiTheme="minorHAnsi" w:hAnsiTheme="minorHAnsi" w:cstheme="minorBidi"/>
          <w:b/>
          <w:bCs/>
        </w:rPr>
        <w:t xml:space="preserve">WHEREAS, </w:t>
      </w:r>
      <w:r w:rsidRPr="005343CE">
        <w:rPr>
          <w:rFonts w:asciiTheme="minorHAnsi" w:hAnsiTheme="minorHAnsi" w:cstheme="minorBidi"/>
        </w:rPr>
        <w:t>Section 39002 of the California Health and Safety Code recognizes local authority to set stricter standards than those set forth by law or by the state board for nonvehicular sources; and</w:t>
      </w:r>
      <w:r w:rsidRPr="005343CE">
        <w:rPr>
          <w:rFonts w:asciiTheme="minorHAnsi" w:hAnsiTheme="minorHAnsi" w:cstheme="minorBidi"/>
          <w:b/>
          <w:bCs/>
        </w:rPr>
        <w:t xml:space="preserve"> </w:t>
      </w:r>
    </w:p>
    <w:p w:rsidRPr="005343CE" w:rsidR="005343CE" w:rsidP="005343CE" w:rsidRDefault="005343CE" w14:paraId="195BFE5D" w14:textId="77777777">
      <w:pPr>
        <w:rPr>
          <w:rFonts w:asciiTheme="minorHAnsi" w:hAnsiTheme="minorHAnsi" w:cstheme="minorBidi"/>
          <w:b/>
          <w:bCs/>
        </w:rPr>
      </w:pPr>
    </w:p>
    <w:p w:rsidR="005343CE" w:rsidP="005343CE" w:rsidRDefault="005343CE" w14:paraId="3111072A" w14:textId="0A78F56C">
      <w:pPr>
        <w:rPr>
          <w:rFonts w:asciiTheme="minorHAnsi" w:hAnsiTheme="minorHAnsi" w:cstheme="minorBidi"/>
          <w:b/>
          <w:bCs/>
        </w:rPr>
      </w:pPr>
      <w:r w:rsidRPr="005343CE">
        <w:rPr>
          <w:rFonts w:asciiTheme="minorHAnsi" w:hAnsiTheme="minorHAnsi" w:cstheme="minorBidi"/>
          <w:b/>
          <w:bCs/>
        </w:rPr>
        <w:t xml:space="preserve">WHEREAS, </w:t>
      </w:r>
      <w:r w:rsidRPr="005343CE">
        <w:rPr>
          <w:rFonts w:asciiTheme="minorHAnsi" w:hAnsiTheme="minorHAnsi" w:cstheme="minorBidi"/>
        </w:rPr>
        <w:t xml:space="preserve">much of the Greater Bay Area, including </w:t>
      </w:r>
      <w:r w:rsidRPr="005343CE">
        <w:rPr>
          <w:rFonts w:asciiTheme="minorHAnsi" w:hAnsiTheme="minorHAnsi" w:cstheme="minorBidi"/>
          <w:shd w:val="clear" w:color="auto" w:fill="BFBFBF" w:themeFill="background1" w:themeFillShade="BF"/>
        </w:rPr>
        <w:t>[jurisdiction]</w:t>
      </w:r>
      <w:r w:rsidRPr="005343CE">
        <w:rPr>
          <w:rFonts w:asciiTheme="minorHAnsi" w:hAnsiTheme="minorHAnsi" w:cstheme="minorBidi"/>
        </w:rPr>
        <w:t>, remains a nonattainment area that does not meet the federal air quality standards established to protect public health; and</w:t>
      </w:r>
    </w:p>
    <w:p w:rsidRPr="005343CE" w:rsidR="005343CE" w:rsidP="005343CE" w:rsidRDefault="005343CE" w14:paraId="6D100C51" w14:textId="77777777">
      <w:pPr>
        <w:rPr>
          <w:rFonts w:asciiTheme="minorHAnsi" w:hAnsiTheme="minorHAnsi" w:cstheme="minorBidi"/>
          <w:b/>
          <w:bCs/>
        </w:rPr>
      </w:pPr>
    </w:p>
    <w:p w:rsidRPr="005343CE" w:rsidR="005343CE" w:rsidP="3140F792" w:rsidRDefault="005343CE" w14:paraId="754C96D8" w14:textId="067BD969">
      <w:pPr>
        <w:rPr>
          <w:rFonts w:ascii="Calibri" w:hAnsi="Calibri" w:cs="" w:asciiTheme="minorAscii" w:hAnsiTheme="minorAscii" w:cstheme="minorBidi"/>
        </w:rPr>
      </w:pPr>
      <w:r w:rsidRPr="3140F792" w:rsidR="005343CE">
        <w:rPr>
          <w:rFonts w:ascii="Calibri" w:hAnsi="Calibri" w:cs="" w:asciiTheme="minorAscii" w:hAnsiTheme="minorAscii" w:cstheme="minorBidi"/>
          <w:b w:val="1"/>
          <w:bCs w:val="1"/>
        </w:rPr>
        <w:t>WHEREAS,</w:t>
      </w:r>
      <w:r w:rsidRPr="3140F792" w:rsidR="005343CE">
        <w:rPr>
          <w:rFonts w:ascii="Calibri" w:hAnsi="Calibri" w:cs="" w:asciiTheme="minorAscii" w:hAnsiTheme="minorAscii" w:cstheme="minorBidi"/>
          <w:b w:val="1"/>
          <w:bCs w:val="1"/>
        </w:rPr>
        <w:t xml:space="preserve"> </w:t>
      </w:r>
      <w:r w:rsidRPr="3140F792" w:rsidR="005343CE">
        <w:rPr>
          <w:rFonts w:ascii="Calibri" w:hAnsi="Calibri" w:cs="" w:asciiTheme="minorAscii" w:hAnsiTheme="minorAscii" w:cstheme="minorBidi"/>
        </w:rPr>
        <w:t>Nitr</w:t>
      </w:r>
      <w:r w:rsidRPr="3140F792" w:rsidR="6A261C08">
        <w:rPr>
          <w:rFonts w:ascii="Calibri" w:hAnsi="Calibri" w:cs="" w:asciiTheme="minorAscii" w:hAnsiTheme="minorAscii" w:cstheme="minorBidi"/>
        </w:rPr>
        <w:t>ic</w:t>
      </w:r>
      <w:r w:rsidRPr="3140F792" w:rsidR="005343CE">
        <w:rPr>
          <w:rFonts w:ascii="Calibri" w:hAnsi="Calibri" w:cs="" w:asciiTheme="minorAscii" w:hAnsiTheme="minorAscii" w:cstheme="minorBidi"/>
        </w:rPr>
        <w:t xml:space="preserve"> Oxide and Nitro</w:t>
      </w:r>
      <w:r w:rsidRPr="3140F792" w:rsidR="00392F87">
        <w:rPr>
          <w:rFonts w:ascii="Calibri" w:hAnsi="Calibri" w:cs="" w:asciiTheme="minorAscii" w:hAnsiTheme="minorAscii" w:cstheme="minorBidi"/>
        </w:rPr>
        <w:t>gen</w:t>
      </w:r>
      <w:r w:rsidRPr="3140F792" w:rsidR="005343CE">
        <w:rPr>
          <w:rFonts w:ascii="Calibri" w:hAnsi="Calibri" w:cs="" w:asciiTheme="minorAscii" w:hAnsiTheme="minorAscii" w:cstheme="minorBidi"/>
        </w:rPr>
        <w:t xml:space="preserve"> Dioxide (collectively NOx) emissions from building </w:t>
      </w:r>
      <w:r w:rsidRPr="3140F792" w:rsidR="005343CE">
        <w:rPr>
          <w:rFonts w:ascii="Calibri" w:hAnsi="Calibri" w:cs="" w:asciiTheme="minorAscii" w:hAnsiTheme="minorAscii" w:cstheme="minorBidi"/>
        </w:rPr>
        <w:t>appliances contribute significantly to the formation of ozone and other harmful air pollutants that are present at levels that violate federal standards; and</w:t>
      </w:r>
    </w:p>
    <w:p w:rsidRPr="005343CE" w:rsidR="005343CE" w:rsidP="005343CE" w:rsidRDefault="005343CE" w14:paraId="5CCD4299" w14:textId="77777777">
      <w:pPr>
        <w:rPr>
          <w:rFonts w:asciiTheme="minorHAnsi" w:hAnsiTheme="minorHAnsi" w:cstheme="minorBidi"/>
          <w:b/>
          <w:bCs/>
        </w:rPr>
      </w:pPr>
    </w:p>
    <w:p w:rsidR="005343CE" w:rsidP="005343CE" w:rsidRDefault="005343CE" w14:paraId="4202E06D" w14:textId="10083DD8">
      <w:pPr>
        <w:rPr>
          <w:rFonts w:asciiTheme="minorHAnsi" w:hAnsiTheme="minorHAnsi" w:cstheme="minorBidi"/>
        </w:rPr>
      </w:pPr>
      <w:r w:rsidRPr="005343CE">
        <w:rPr>
          <w:rFonts w:asciiTheme="minorHAnsi" w:hAnsiTheme="minorHAnsi" w:cstheme="minorBidi"/>
          <w:b/>
          <w:bCs/>
        </w:rPr>
        <w:t xml:space="preserve">WHEREAS, </w:t>
      </w:r>
      <w:r w:rsidRPr="005343CE">
        <w:rPr>
          <w:rFonts w:asciiTheme="minorHAnsi" w:hAnsiTheme="minorHAnsi" w:cstheme="minorBidi"/>
        </w:rPr>
        <w:t>the Bay Area Air Quality Management District approved rules on June 21, 2023 that outlaw the sale of NOx-emitting water heaters and furnaces in 2027 and 2029 respectively for</w:t>
      </w:r>
      <w:r>
        <w:rPr>
          <w:rFonts w:asciiTheme="minorHAnsi" w:hAnsiTheme="minorHAnsi" w:cstheme="minorBidi"/>
          <w:b/>
          <w:bCs/>
        </w:rPr>
        <w:t xml:space="preserve"> </w:t>
      </w:r>
      <w:r w:rsidRPr="005343CE">
        <w:rPr>
          <w:rFonts w:asciiTheme="minorHAnsi" w:hAnsiTheme="minorHAnsi" w:cstheme="minorBidi"/>
        </w:rPr>
        <w:t>installation into Bay Area buildings; and</w:t>
      </w:r>
    </w:p>
    <w:p w:rsidRPr="005343CE" w:rsidR="005343CE" w:rsidP="005343CE" w:rsidRDefault="005343CE" w14:paraId="6821DAFA" w14:textId="77777777">
      <w:pPr>
        <w:rPr>
          <w:rFonts w:asciiTheme="minorHAnsi" w:hAnsiTheme="minorHAnsi" w:cstheme="minorBidi"/>
          <w:b/>
          <w:bCs/>
        </w:rPr>
      </w:pPr>
    </w:p>
    <w:p w:rsidR="005343CE" w:rsidP="005343CE" w:rsidRDefault="005343CE" w14:paraId="03687FA1" w14:textId="0DCA113E">
      <w:pPr>
        <w:rPr>
          <w:rFonts w:asciiTheme="minorHAnsi" w:hAnsiTheme="minorHAnsi" w:cstheme="minorBidi"/>
          <w:b/>
          <w:bCs/>
        </w:rPr>
      </w:pPr>
      <w:r w:rsidRPr="005343CE">
        <w:rPr>
          <w:rFonts w:asciiTheme="minorHAnsi" w:hAnsiTheme="minorHAnsi" w:cstheme="minorBidi"/>
          <w:b/>
          <w:bCs/>
        </w:rPr>
        <w:t xml:space="preserve">WHEREAS, </w:t>
      </w:r>
      <w:r w:rsidRPr="005343CE">
        <w:rPr>
          <w:rFonts w:asciiTheme="minorHAnsi" w:hAnsiTheme="minorHAnsi" w:cstheme="minorBidi"/>
        </w:rPr>
        <w:t xml:space="preserve">preparing the structures in the </w:t>
      </w:r>
      <w:r w:rsidRPr="005343CE">
        <w:rPr>
          <w:rFonts w:asciiTheme="minorHAnsi" w:hAnsiTheme="minorHAnsi" w:cstheme="minorBidi"/>
          <w:shd w:val="clear" w:color="auto" w:fill="BFBFBF" w:themeFill="background1" w:themeFillShade="BF"/>
        </w:rPr>
        <w:t>[jurisdiction]</w:t>
      </w:r>
      <w:r w:rsidRPr="005343CE">
        <w:rPr>
          <w:rFonts w:asciiTheme="minorHAnsi" w:hAnsiTheme="minorHAnsi" w:cstheme="minorBidi"/>
        </w:rPr>
        <w:t xml:space="preserve"> for the upcoming implementation of the Bay Area Air Quality Management District’s rules will promote efficiency and cost savings that will benefit </w:t>
      </w:r>
      <w:r w:rsidRPr="005343CE">
        <w:rPr>
          <w:rFonts w:asciiTheme="minorHAnsi" w:hAnsiTheme="minorHAnsi" w:cstheme="minorBidi"/>
          <w:shd w:val="clear" w:color="auto" w:fill="BFBFBF" w:themeFill="background1" w:themeFillShade="BF"/>
        </w:rPr>
        <w:t>[jurisdiction]</w:t>
      </w:r>
      <w:r w:rsidRPr="005343CE">
        <w:rPr>
          <w:rFonts w:asciiTheme="minorHAnsi" w:hAnsiTheme="minorHAnsi" w:cstheme="minorBidi"/>
        </w:rPr>
        <w:t xml:space="preserve"> residents and protect community health; and</w:t>
      </w:r>
    </w:p>
    <w:p w:rsidRPr="005343CE" w:rsidR="005343CE" w:rsidP="005343CE" w:rsidRDefault="005343CE" w14:paraId="6814C39C" w14:textId="77777777">
      <w:pPr>
        <w:rPr>
          <w:rFonts w:asciiTheme="minorHAnsi" w:hAnsiTheme="minorHAnsi" w:cstheme="minorBidi"/>
          <w:b/>
          <w:bCs/>
        </w:rPr>
      </w:pPr>
    </w:p>
    <w:p w:rsidRPr="005343CE" w:rsidR="005343CE" w:rsidP="005343CE" w:rsidRDefault="005343CE" w14:paraId="5AF508A5" w14:textId="78952ED4">
      <w:pPr>
        <w:rPr>
          <w:rFonts w:asciiTheme="minorHAnsi" w:hAnsiTheme="minorHAnsi" w:cstheme="minorBidi"/>
        </w:rPr>
      </w:pPr>
      <w:r w:rsidRPr="005343CE">
        <w:rPr>
          <w:rFonts w:asciiTheme="minorHAnsi" w:hAnsiTheme="minorHAnsi" w:cstheme="minorBidi"/>
          <w:b/>
          <w:bCs/>
        </w:rPr>
        <w:t xml:space="preserve">WHEREAS, </w:t>
      </w:r>
      <w:r w:rsidRPr="005343CE">
        <w:rPr>
          <w:rFonts w:asciiTheme="minorHAnsi" w:hAnsiTheme="minorHAnsi" w:cstheme="minorBidi"/>
        </w:rPr>
        <w:t>Section 39002 of the California Health and Safety Code authorizes local agencies to establish air pollution standards that are stricter than statewide or federal standards; and</w:t>
      </w:r>
    </w:p>
    <w:p w:rsidRPr="005343CE" w:rsidR="005343CE" w:rsidP="005343CE" w:rsidRDefault="005343CE" w14:paraId="3F46C0C4" w14:textId="77777777">
      <w:pPr>
        <w:rPr>
          <w:rFonts w:asciiTheme="minorHAnsi" w:hAnsiTheme="minorHAnsi" w:cstheme="minorBidi"/>
        </w:rPr>
      </w:pPr>
    </w:p>
    <w:p w:rsidRPr="005343CE" w:rsidR="005343CE" w:rsidP="005343CE" w:rsidRDefault="005343CE" w14:paraId="055994E3" w14:textId="494ACE8D">
      <w:pPr>
        <w:rPr>
          <w:rFonts w:asciiTheme="minorHAnsi" w:hAnsiTheme="minorHAnsi" w:cstheme="minorBidi"/>
        </w:rPr>
      </w:pPr>
      <w:r w:rsidRPr="005343CE">
        <w:rPr>
          <w:rFonts w:asciiTheme="minorHAnsi" w:hAnsiTheme="minorHAnsi" w:cstheme="minorBidi"/>
          <w:b/>
          <w:bCs/>
        </w:rPr>
        <w:t xml:space="preserve">WHEREAS, </w:t>
      </w:r>
      <w:r w:rsidRPr="005343CE">
        <w:rPr>
          <w:rFonts w:asciiTheme="minorHAnsi" w:hAnsiTheme="minorHAnsi" w:cstheme="minorBidi"/>
        </w:rPr>
        <w:t>California Health and Safety Code section 17958 requires that cities adopt building regulations that are substantially the same as those adopted by the California Building Standards Commission and contained in the California Code of Regulations – Title 24; and;</w:t>
      </w:r>
    </w:p>
    <w:p w:rsidR="005343CE" w:rsidP="005343CE" w:rsidRDefault="005343CE" w14:paraId="632CF868" w14:textId="77777777">
      <w:pPr>
        <w:rPr>
          <w:rFonts w:asciiTheme="minorHAnsi" w:hAnsiTheme="minorHAnsi" w:cstheme="minorBidi"/>
          <w:b/>
          <w:bCs/>
        </w:rPr>
      </w:pPr>
    </w:p>
    <w:p w:rsidRPr="005343CE" w:rsidR="005343CE" w:rsidP="005343CE" w:rsidRDefault="005343CE" w14:paraId="55C0B139" w14:textId="742FA72A">
      <w:pPr>
        <w:rPr>
          <w:rFonts w:asciiTheme="minorHAnsi" w:hAnsiTheme="minorHAnsi" w:cstheme="minorBidi"/>
        </w:rPr>
      </w:pPr>
      <w:r w:rsidRPr="005343CE">
        <w:rPr>
          <w:rFonts w:asciiTheme="minorHAnsi" w:hAnsiTheme="minorHAnsi" w:cstheme="minorBidi"/>
          <w:b/>
          <w:bCs/>
        </w:rPr>
        <w:t xml:space="preserve">WHEREAS, </w:t>
      </w:r>
      <w:r w:rsidRPr="005343CE">
        <w:rPr>
          <w:rFonts w:asciiTheme="minorHAnsi" w:hAnsiTheme="minorHAnsi" w:cstheme="minorBidi"/>
        </w:rPr>
        <w:t xml:space="preserve">the </w:t>
      </w:r>
      <w:r w:rsidRPr="005343CE">
        <w:rPr>
          <w:rFonts w:asciiTheme="minorHAnsi" w:hAnsiTheme="minorHAnsi" w:cstheme="minorBidi"/>
          <w:shd w:val="clear" w:color="auto" w:fill="BFBFBF" w:themeFill="background1" w:themeFillShade="BF"/>
        </w:rPr>
        <w:t>[jurisdiction]</w:t>
      </w:r>
      <w:r w:rsidRPr="005343CE">
        <w:rPr>
          <w:rFonts w:asciiTheme="minorHAnsi" w:hAnsiTheme="minorHAnsi" w:cstheme="minorBidi"/>
        </w:rPr>
        <w:t xml:space="preserve"> adopted such regulations on </w:t>
      </w:r>
      <w:r w:rsidRPr="005343CE">
        <w:rPr>
          <w:rFonts w:asciiTheme="minorHAnsi" w:hAnsiTheme="minorHAnsi" w:cstheme="minorBidi"/>
          <w:shd w:val="clear" w:color="auto" w:fill="BFBFBF" w:themeFill="background1" w:themeFillShade="BF"/>
        </w:rPr>
        <w:t>[date]</w:t>
      </w:r>
      <w:r w:rsidRPr="005343CE">
        <w:rPr>
          <w:rFonts w:asciiTheme="minorHAnsi" w:hAnsiTheme="minorHAnsi" w:cstheme="minorBidi"/>
        </w:rPr>
        <w:t xml:space="preserve"> with modifications as provided by California Health and Safety Code Sections 17958.5, 17958.7 and 18941.5 which specify that the City may make changes or modifications to the building standards contained in the California Building Standards based upon express findings that such changes or modifications are reasonably necessary because of local climatic, geological or topographical conditions;</w:t>
      </w:r>
    </w:p>
    <w:p w:rsidR="005343CE" w:rsidP="10A27D8C" w:rsidRDefault="005343CE" w14:paraId="47FE73C5" w14:textId="77777777">
      <w:pPr>
        <w:rPr>
          <w:rFonts w:asciiTheme="minorHAnsi" w:hAnsiTheme="minorHAnsi" w:cstheme="minorBidi"/>
          <w:b/>
          <w:bCs/>
        </w:rPr>
      </w:pPr>
    </w:p>
    <w:p w:rsidR="005343CE" w:rsidP="10A27D8C" w:rsidRDefault="005343CE" w14:paraId="6E3FB2B4" w14:textId="77777777">
      <w:pPr>
        <w:rPr>
          <w:rFonts w:asciiTheme="minorHAnsi" w:hAnsiTheme="minorHAnsi" w:cstheme="minorBidi"/>
          <w:b/>
          <w:bCs/>
        </w:rPr>
      </w:pPr>
    </w:p>
    <w:p w:rsidR="005343CE" w:rsidP="10A27D8C" w:rsidRDefault="005343CE" w14:paraId="701C8E8A" w14:textId="77777777">
      <w:pPr>
        <w:rPr>
          <w:rFonts w:asciiTheme="minorHAnsi" w:hAnsiTheme="minorHAnsi" w:cstheme="minorBidi"/>
          <w:b/>
          <w:bCs/>
        </w:rPr>
      </w:pPr>
    </w:p>
    <w:p w:rsidR="001B68CD" w:rsidRDefault="001B68CD" w14:paraId="27A40BD6" w14:textId="77777777">
      <w:pPr>
        <w:widowControl/>
        <w:kinsoku/>
        <w:spacing w:after="160" w:line="259" w:lineRule="auto"/>
        <w:rPr>
          <w:rFonts w:asciiTheme="minorHAnsi" w:hAnsiTheme="minorHAnsi" w:eastAsiaTheme="majorEastAsia" w:cstheme="majorBidi"/>
          <w:b/>
          <w:szCs w:val="32"/>
          <w:u w:val="single"/>
        </w:rPr>
      </w:pPr>
      <w:r>
        <w:br w:type="page"/>
      </w:r>
    </w:p>
    <w:p w:rsidRPr="00FC4128" w:rsidR="00440ADA" w:rsidP="00FC4128" w:rsidRDefault="4B8DCA53" w14:paraId="5CB35BC5" w14:textId="29D691CC">
      <w:pPr>
        <w:pStyle w:val="Heading1"/>
      </w:pPr>
      <w:r w:rsidRPr="00FC4128">
        <w:lastRenderedPageBreak/>
        <w:t>Part 11 – California Green Building Standards Code (CALGreen)</w:t>
      </w:r>
    </w:p>
    <w:p w:rsidRPr="00FC4128" w:rsidR="00440ADA" w:rsidP="4B8DCA53" w:rsidRDefault="00440ADA" w14:paraId="67D4796B" w14:textId="77777777">
      <w:pPr>
        <w:jc w:val="center"/>
        <w:rPr>
          <w:rFonts w:asciiTheme="minorHAnsi" w:hAnsiTheme="minorHAnsi" w:cstheme="minorBidi"/>
        </w:rPr>
      </w:pPr>
    </w:p>
    <w:p w:rsidRPr="00FC4128" w:rsidR="00440ADA" w:rsidP="00FC4128" w:rsidRDefault="4B8DCA53" w14:paraId="5D42EA71" w14:textId="77777777">
      <w:pPr>
        <w:pStyle w:val="Heading2"/>
        <w:rPr>
          <w:rFonts w:eastAsiaTheme="minorEastAsia"/>
        </w:rPr>
      </w:pPr>
      <w:r w:rsidRPr="00FC4128">
        <w:rPr>
          <w:rFonts w:eastAsiaTheme="minorEastAsia"/>
        </w:rPr>
        <w:t>CHAPTER 2 – DEFINITIONS</w:t>
      </w:r>
    </w:p>
    <w:p w:rsidRPr="00FC4128" w:rsidR="00024227" w:rsidP="00843953" w:rsidRDefault="00024227" w14:paraId="40FBAE5D" w14:textId="77777777">
      <w:pPr>
        <w:pStyle w:val="Default"/>
        <w:ind w:left="360"/>
      </w:pPr>
    </w:p>
    <w:p w:rsidRPr="00FC4128" w:rsidR="00024227" w:rsidP="00FD64DE" w:rsidRDefault="00024227" w14:paraId="125D0B64" w14:textId="77777777">
      <w:pPr>
        <w:pStyle w:val="Default"/>
      </w:pPr>
      <w:r w:rsidRPr="00FC4128">
        <w:rPr>
          <w:b/>
          <w:bCs/>
        </w:rPr>
        <w:t xml:space="preserve">ADDITION. </w:t>
      </w:r>
      <w:r w:rsidRPr="00FC4128">
        <w:t xml:space="preserve">An extension or increase in floor area of an existing building or structure. </w:t>
      </w:r>
    </w:p>
    <w:p w:rsidRPr="00FC4128" w:rsidR="00EA02CC" w:rsidP="00FD64DE" w:rsidRDefault="00EA02CC" w14:paraId="1983E45E" w14:textId="77777777">
      <w:pPr>
        <w:pStyle w:val="Default"/>
      </w:pPr>
    </w:p>
    <w:p w:rsidRPr="00FC4128" w:rsidR="00024227" w:rsidP="00FD64DE" w:rsidRDefault="00024227" w14:paraId="168ABA7F" w14:textId="77777777">
      <w:pPr>
        <w:pStyle w:val="Default"/>
      </w:pPr>
      <w:r w:rsidRPr="00FC4128">
        <w:rPr>
          <w:b/>
          <w:bCs/>
        </w:rPr>
        <w:t xml:space="preserve">ALTERATION OR ALTER. </w:t>
      </w:r>
      <w:r w:rsidRPr="00FC4128">
        <w:t xml:space="preserve">Any construction or renovation to an existing structure other than repair for the purpose of maintenance or addition. </w:t>
      </w:r>
    </w:p>
    <w:p w:rsidRPr="00FC4128" w:rsidR="0004703C" w:rsidP="00FD64DE" w:rsidRDefault="0004703C" w14:paraId="3289D659" w14:textId="77777777">
      <w:pPr>
        <w:pStyle w:val="Default"/>
      </w:pPr>
    </w:p>
    <w:p w:rsidRPr="00FC4128" w:rsidR="0004703C" w:rsidP="0004703C" w:rsidRDefault="0004703C" w14:paraId="7C27A142" w14:textId="16D49D52">
      <w:pPr>
        <w:rPr>
          <w:rFonts w:asciiTheme="minorHAnsi" w:hAnsiTheme="minorHAnsi" w:cstheme="minorHAnsi"/>
        </w:rPr>
      </w:pPr>
      <w:r w:rsidRPr="00FC4128">
        <w:rPr>
          <w:rFonts w:asciiTheme="minorHAnsi" w:hAnsiTheme="minorHAnsi" w:cstheme="minorHAnsi"/>
          <w:b/>
          <w:bCs/>
        </w:rPr>
        <w:t xml:space="preserve">NEWLY CONSTRUCTED (or NEW CONSTRUCTION). </w:t>
      </w:r>
      <w:r w:rsidRPr="00FC4128">
        <w:rPr>
          <w:rFonts w:asciiTheme="minorHAnsi" w:hAnsiTheme="minorHAnsi" w:cstheme="minorHAnsi"/>
        </w:rPr>
        <w:t>A newly constructed building (or new construction) does not include additions, alterations or repairs.</w:t>
      </w:r>
    </w:p>
    <w:p w:rsidRPr="00FC4128" w:rsidR="00EA02CC" w:rsidP="00FD64DE" w:rsidRDefault="00EA02CC" w14:paraId="72BA27BB" w14:textId="77777777">
      <w:pPr>
        <w:pStyle w:val="Default"/>
      </w:pPr>
    </w:p>
    <w:p w:rsidRPr="00FC4128" w:rsidR="00024227" w:rsidP="00FD64DE" w:rsidRDefault="00024227" w14:paraId="63215255" w14:textId="11D380EF">
      <w:pPr>
        <w:pStyle w:val="Default"/>
        <w:rPr>
          <w:u w:val="single"/>
        </w:rPr>
      </w:pPr>
      <w:r w:rsidRPr="00FC4128">
        <w:rPr>
          <w:b/>
          <w:bCs/>
          <w:u w:val="single"/>
        </w:rPr>
        <w:t>NITROGEN OXIDES (NOX)</w:t>
      </w:r>
      <w:r w:rsidRPr="00FC4128">
        <w:rPr>
          <w:u w:val="single"/>
        </w:rPr>
        <w:t xml:space="preserve">. The sum of nitrogen oxide (NO) and nitrogen dioxide (NO2), collectively expressed as nitrogen dioxide. </w:t>
      </w:r>
    </w:p>
    <w:p w:rsidRPr="00FC4128" w:rsidR="00EA02CC" w:rsidP="00FD64DE" w:rsidRDefault="00EA02CC" w14:paraId="2C9FD427" w14:textId="77777777">
      <w:pPr>
        <w:pStyle w:val="Default"/>
        <w:rPr>
          <w:u w:val="single"/>
        </w:rPr>
      </w:pPr>
    </w:p>
    <w:p w:rsidRPr="00FC4128" w:rsidR="00024227" w:rsidP="00FD64DE" w:rsidRDefault="00024227" w14:paraId="10606990" w14:textId="77777777">
      <w:pPr>
        <w:pStyle w:val="Default"/>
        <w:rPr>
          <w:u w:val="single"/>
        </w:rPr>
      </w:pPr>
      <w:r w:rsidRPr="00FC4128">
        <w:rPr>
          <w:b/>
          <w:bCs/>
          <w:u w:val="single"/>
        </w:rPr>
        <w:t xml:space="preserve">NOX EMITTING EQUIPMENT. </w:t>
      </w:r>
      <w:r w:rsidRPr="00FC4128">
        <w:rPr>
          <w:u w:val="single"/>
        </w:rPr>
        <w:t xml:space="preserve">Any equipment or appliance used for space heating, water heating, cooking, clothes drying and/or lighting that emits more than 0.0 nanograms of nitrogen oxides expressed as NOx per joule of heat and/or light output. </w:t>
      </w:r>
    </w:p>
    <w:p w:rsidRPr="00FC4128" w:rsidR="00EA02CC" w:rsidP="00FD64DE" w:rsidRDefault="00EA02CC" w14:paraId="690681C5" w14:textId="77777777">
      <w:pPr>
        <w:pStyle w:val="Default"/>
        <w:rPr>
          <w:u w:val="single"/>
        </w:rPr>
      </w:pPr>
    </w:p>
    <w:p w:rsidRPr="00FC4128" w:rsidR="00024227" w:rsidP="00FD64DE" w:rsidRDefault="00024227" w14:paraId="5DBE7541" w14:textId="77777777">
      <w:pPr>
        <w:pStyle w:val="Default"/>
        <w:rPr>
          <w:u w:val="single"/>
        </w:rPr>
      </w:pPr>
      <w:r w:rsidRPr="00FC4128">
        <w:rPr>
          <w:b/>
          <w:bCs/>
          <w:u w:val="single"/>
        </w:rPr>
        <w:t xml:space="preserve">REPAIR. </w:t>
      </w:r>
      <w:r w:rsidRPr="00FC4128">
        <w:rPr>
          <w:u w:val="single"/>
        </w:rPr>
        <w:t xml:space="preserve">Reconstruction, replacement, or renewal of any part of an existing building for the purpose of its maintenance or to correct damage, as defined in the California Existing Building Code. </w:t>
      </w:r>
    </w:p>
    <w:p w:rsidRPr="00FC4128" w:rsidR="00EA02CC" w:rsidP="00FD64DE" w:rsidRDefault="00EA02CC" w14:paraId="4BE3CF0A" w14:textId="77777777">
      <w:pPr>
        <w:pStyle w:val="Default"/>
        <w:rPr>
          <w:u w:val="single"/>
        </w:rPr>
      </w:pPr>
    </w:p>
    <w:p w:rsidRPr="00FC4128" w:rsidR="00EA02CC" w:rsidP="00FD64DE" w:rsidRDefault="00024227" w14:paraId="482A64E5" w14:textId="1219E47D">
      <w:pPr>
        <w:pStyle w:val="Default"/>
        <w:rPr>
          <w:color w:val="auto"/>
          <w:u w:val="single"/>
        </w:rPr>
      </w:pPr>
      <w:r w:rsidRPr="00FC4128">
        <w:rPr>
          <w:b/>
          <w:bCs/>
          <w:u w:val="single"/>
        </w:rPr>
        <w:t xml:space="preserve">SUBSTANTIALLY ALTERED STRUCTURE. </w:t>
      </w:r>
      <w:r w:rsidRPr="00FC4128">
        <w:rPr>
          <w:u w:val="single"/>
        </w:rPr>
        <w:t xml:space="preserve">Any structure that is voluntarily altered such that more than fifty (50) percent of the structure’s permitted floor area is altered, </w:t>
      </w:r>
      <w:r w:rsidRPr="00FC4128" w:rsidR="002C0E70">
        <w:rPr>
          <w:u w:val="single"/>
        </w:rPr>
        <w:t xml:space="preserve">or more than </w:t>
      </w:r>
      <w:r w:rsidRPr="00FC4128" w:rsidR="002C0E70">
        <w:rPr>
          <w:color w:val="auto"/>
          <w:u w:val="single"/>
        </w:rPr>
        <w:t xml:space="preserve">fifty (50) percent of the existing framing above the sill plate is removed or replaced for purposes other than repair, </w:t>
      </w:r>
      <w:r w:rsidRPr="00FC4128">
        <w:rPr>
          <w:color w:val="auto"/>
          <w:u w:val="single"/>
        </w:rPr>
        <w:t xml:space="preserve">or fifty (50) percent of the structure’s combined wall and floor area is altered, or more than fifty (50) percent of </w:t>
      </w:r>
      <w:r w:rsidRPr="00FC4128" w:rsidR="003E1847">
        <w:rPr>
          <w:color w:val="auto"/>
          <w:u w:val="single"/>
        </w:rPr>
        <w:t xml:space="preserve">the </w:t>
      </w:r>
      <w:r w:rsidRPr="00FC4128">
        <w:rPr>
          <w:color w:val="auto"/>
          <w:u w:val="single"/>
        </w:rPr>
        <w:t>existing structure’s permitted floor area is added.</w:t>
      </w:r>
      <w:r w:rsidRPr="00FC4128" w:rsidR="008919F1">
        <w:rPr>
          <w:color w:val="auto"/>
          <w:u w:val="single"/>
        </w:rPr>
        <w:t xml:space="preserve"> If any of these criteria are met within a three-year period, measured from the date of the most recent previously obtained permit final date, the </w:t>
      </w:r>
      <w:r w:rsidRPr="00FC4128" w:rsidR="007B1FBC">
        <w:rPr>
          <w:color w:val="auto"/>
          <w:u w:val="single"/>
        </w:rPr>
        <w:t>structure shall be considered a substantially altered structure.</w:t>
      </w:r>
    </w:p>
    <w:p w:rsidRPr="00FC4128" w:rsidR="00EA02CC" w:rsidP="00FD64DE" w:rsidRDefault="00EA02CC" w14:paraId="0D1C62AB" w14:textId="77777777">
      <w:pPr>
        <w:pStyle w:val="Default"/>
        <w:rPr>
          <w:color w:val="auto"/>
          <w:u w:val="single"/>
        </w:rPr>
      </w:pPr>
    </w:p>
    <w:p w:rsidRPr="00FC4128" w:rsidR="00024227" w:rsidP="00FD64DE" w:rsidRDefault="75FFDDB2" w14:paraId="0B87603A" w14:textId="4D475BB5">
      <w:pPr>
        <w:pStyle w:val="Default"/>
        <w:rPr>
          <w:color w:val="auto"/>
          <w:u w:val="single"/>
        </w:rPr>
      </w:pPr>
      <w:r w:rsidRPr="00FC4128">
        <w:rPr>
          <w:b/>
          <w:bCs/>
          <w:color w:val="auto"/>
          <w:u w:val="single"/>
        </w:rPr>
        <w:t xml:space="preserve">ZERO-NOX EMISSION BUILDING. </w:t>
      </w:r>
      <w:r w:rsidRPr="00FC4128">
        <w:rPr>
          <w:color w:val="auto"/>
          <w:u w:val="single"/>
        </w:rPr>
        <w:t>A building with zero, on-site,</w:t>
      </w:r>
      <w:r w:rsidRPr="00FC4128" w:rsidR="00676ABE">
        <w:rPr>
          <w:color w:val="auto"/>
          <w:u w:val="single"/>
        </w:rPr>
        <w:t xml:space="preserve"> </w:t>
      </w:r>
      <w:r w:rsidRPr="00FC4128">
        <w:rPr>
          <w:color w:val="auto"/>
          <w:u w:val="single"/>
        </w:rPr>
        <w:t xml:space="preserve">NOx emissions that utilizes zero-NOx emitting equipment </w:t>
      </w:r>
      <w:r w:rsidRPr="00FC4128">
        <w:rPr>
          <w:u w:val="single"/>
        </w:rPr>
        <w:t>to protect public health and safety by reducing exposure to pollutants that impact outdoor air quality.</w:t>
      </w:r>
    </w:p>
    <w:p w:rsidRPr="00FC4128" w:rsidR="00EA02CC" w:rsidP="00FD64DE" w:rsidRDefault="00EA02CC" w14:paraId="057ADE77" w14:textId="77777777">
      <w:pPr>
        <w:pStyle w:val="Default"/>
        <w:rPr>
          <w:color w:val="auto"/>
        </w:rPr>
      </w:pPr>
    </w:p>
    <w:p w:rsidRPr="00FC4128" w:rsidR="005F0DFA" w:rsidP="00837643" w:rsidRDefault="00024227" w14:paraId="18334717" w14:textId="21E4A80A">
      <w:pPr>
        <w:pStyle w:val="Default"/>
        <w:rPr>
          <w:color w:val="auto"/>
          <w:u w:val="single"/>
        </w:rPr>
      </w:pPr>
      <w:r w:rsidRPr="00FC4128">
        <w:rPr>
          <w:b/>
          <w:bCs/>
          <w:color w:val="auto"/>
          <w:u w:val="single"/>
        </w:rPr>
        <w:t xml:space="preserve">ZERO-NOX EMITTING EQUIPMENT. </w:t>
      </w:r>
      <w:r w:rsidRPr="00FC4128">
        <w:rPr>
          <w:color w:val="auto"/>
          <w:u w:val="single"/>
        </w:rPr>
        <w:t xml:space="preserve">Any equipment or appliance that emits no more than 0.0 nanograms of nitrogen oxides (expressed as NOx) per joule of heat and/or light output. Equipment and appliance uses include, but are not limited to, space heating, water heating, cooking, clothes drying, and lighting. </w:t>
      </w:r>
    </w:p>
    <w:p w:rsidRPr="00FC4128" w:rsidR="005F0DFA" w:rsidP="006C2B20" w:rsidRDefault="005F0DFA" w14:paraId="39462AC8" w14:textId="77777777">
      <w:pPr>
        <w:rPr>
          <w:rFonts w:asciiTheme="minorHAnsi" w:hAnsiTheme="minorHAnsi" w:cstheme="minorHAnsi"/>
          <w:b/>
          <w:bCs/>
        </w:rPr>
      </w:pPr>
    </w:p>
    <w:p w:rsidRPr="00FC4128" w:rsidR="006C2B20" w:rsidP="006C2B20" w:rsidRDefault="006C2B20" w14:paraId="449B4423" w14:textId="733E54BF">
      <w:pPr>
        <w:rPr>
          <w:rFonts w:asciiTheme="minorHAnsi" w:hAnsiTheme="minorHAnsi" w:cstheme="minorHAnsi"/>
          <w:b/>
          <w:bCs/>
        </w:rPr>
      </w:pPr>
      <w:r w:rsidRPr="00FC4128">
        <w:rPr>
          <w:rFonts w:asciiTheme="minorHAnsi" w:hAnsiTheme="minorHAnsi" w:cstheme="minorHAnsi"/>
          <w:b/>
          <w:bCs/>
        </w:rPr>
        <w:t>……..</w:t>
      </w:r>
    </w:p>
    <w:p w:rsidRPr="00FC4128" w:rsidR="00A20030" w:rsidP="006C2B20" w:rsidRDefault="00A20030" w14:paraId="40983565" w14:textId="77777777">
      <w:pPr>
        <w:pStyle w:val="Default"/>
        <w:rPr>
          <w:color w:val="auto"/>
        </w:rPr>
      </w:pPr>
    </w:p>
    <w:p w:rsidRPr="00FC4128" w:rsidR="00D16C9B" w:rsidP="00FC4128" w:rsidRDefault="00D16C9B" w14:paraId="290B228A" w14:textId="77777777">
      <w:pPr>
        <w:pStyle w:val="Heading2"/>
        <w:rPr>
          <w:rFonts w:ascii="Segoe UI" w:hAnsi="Segoe UI" w:cs="Segoe UI"/>
          <w:color w:val="1F3763"/>
        </w:rPr>
      </w:pPr>
      <w:r w:rsidRPr="00FC4128">
        <w:rPr>
          <w:rStyle w:val="normaltextrun"/>
          <w:rFonts w:ascii="Calibri" w:hAnsi="Calibri" w:cs="Calibri"/>
          <w:szCs w:val="24"/>
        </w:rPr>
        <w:lastRenderedPageBreak/>
        <w:t>CHAPTER 4 – RESIDENTIAL MANDATORY MEASURES</w:t>
      </w:r>
      <w:r w:rsidRPr="00FC4128">
        <w:rPr>
          <w:rStyle w:val="eop"/>
          <w:rFonts w:ascii="Calibri" w:hAnsi="Calibri" w:cs="Calibri"/>
          <w:szCs w:val="24"/>
        </w:rPr>
        <w:t> </w:t>
      </w:r>
    </w:p>
    <w:p w:rsidRPr="00FC4128" w:rsidR="00D16C9B" w:rsidP="006C2B20" w:rsidRDefault="00D16C9B" w14:paraId="3B9A49B9" w14:textId="77777777">
      <w:pPr>
        <w:pStyle w:val="Default"/>
        <w:rPr>
          <w:b/>
          <w:bCs/>
          <w:color w:val="auto"/>
        </w:rPr>
      </w:pPr>
    </w:p>
    <w:p w:rsidRPr="00FC4128" w:rsidR="00024227" w:rsidP="006C2B20" w:rsidRDefault="00024227" w14:paraId="0D0E2558" w14:textId="0EFE702C">
      <w:pPr>
        <w:pStyle w:val="Default"/>
        <w:rPr>
          <w:b/>
          <w:bCs/>
          <w:i/>
          <w:iCs/>
          <w:color w:val="auto"/>
        </w:rPr>
      </w:pPr>
      <w:r w:rsidRPr="00FC4128">
        <w:rPr>
          <w:b/>
          <w:bCs/>
          <w:i/>
          <w:iCs/>
          <w:color w:val="auto"/>
        </w:rPr>
        <w:t>DIVISION 4.</w:t>
      </w:r>
      <w:r w:rsidRPr="00FC4128" w:rsidR="002F3353">
        <w:rPr>
          <w:b/>
          <w:bCs/>
          <w:i/>
          <w:iCs/>
          <w:color w:val="auto"/>
        </w:rPr>
        <w:t>5 Environmental Planning</w:t>
      </w:r>
      <w:r w:rsidRPr="00FC4128" w:rsidDel="002F3353" w:rsidR="002F3353">
        <w:rPr>
          <w:b/>
          <w:bCs/>
          <w:i/>
          <w:iCs/>
          <w:color w:val="auto"/>
        </w:rPr>
        <w:t xml:space="preserve"> </w:t>
      </w:r>
    </w:p>
    <w:p w:rsidRPr="00FC4128" w:rsidR="00A20030" w:rsidP="006C2B20" w:rsidRDefault="00A20030" w14:paraId="1690328A" w14:textId="77777777">
      <w:pPr>
        <w:pStyle w:val="Default"/>
        <w:rPr>
          <w:color w:val="auto"/>
        </w:rPr>
      </w:pPr>
    </w:p>
    <w:p w:rsidRPr="00FC4128" w:rsidR="000703B4" w:rsidP="000703B4" w:rsidRDefault="000703B4" w14:paraId="040EFBE1" w14:textId="552B73AA">
      <w:pPr>
        <w:pStyle w:val="paragraph"/>
        <w:spacing w:before="0" w:beforeAutospacing="0" w:after="0" w:afterAutospacing="0"/>
        <w:textAlignment w:val="baseline"/>
        <w:rPr>
          <w:rFonts w:ascii="Segoe UI" w:hAnsi="Segoe UI" w:cs="Segoe UI"/>
        </w:rPr>
      </w:pPr>
      <w:r w:rsidRPr="00FC4128">
        <w:rPr>
          <w:rStyle w:val="normaltextrun"/>
          <w:rFonts w:ascii="Calibri" w:hAnsi="Calibri" w:cs="Calibri"/>
          <w:b/>
          <w:bCs/>
        </w:rPr>
        <w:t>SECTION 4.</w:t>
      </w:r>
      <w:r w:rsidRPr="00FC4128" w:rsidR="00377A3E">
        <w:rPr>
          <w:rStyle w:val="eop"/>
          <w:rFonts w:ascii="Calibri" w:hAnsi="Calibri" w:cs="Calibri" w:eastAsiaTheme="majorEastAsia"/>
          <w:b/>
          <w:bCs/>
        </w:rPr>
        <w:t>508</w:t>
      </w:r>
    </w:p>
    <w:p w:rsidRPr="00FC4128" w:rsidR="005E1A1E" w:rsidP="005E1A1E" w:rsidRDefault="005E1A1E" w14:paraId="1BDDE5EC" w14:textId="77777777">
      <w:pPr>
        <w:rPr>
          <w:rFonts w:asciiTheme="minorHAnsi" w:hAnsiTheme="minorHAnsi" w:cstheme="minorBidi"/>
          <w:b/>
          <w:bCs/>
        </w:rPr>
      </w:pPr>
      <w:r w:rsidRPr="00FC4128">
        <w:rPr>
          <w:rFonts w:asciiTheme="minorHAnsi" w:hAnsiTheme="minorHAnsi" w:cstheme="minorBidi"/>
          <w:b/>
          <w:bCs/>
        </w:rPr>
        <w:t>OUTDOOR AIR QUALITY</w:t>
      </w:r>
    </w:p>
    <w:p w:rsidRPr="00FC4128" w:rsidR="006326EA" w:rsidP="006C2B20" w:rsidRDefault="006326EA" w14:paraId="783788E7" w14:textId="77777777">
      <w:pPr>
        <w:pStyle w:val="Default"/>
        <w:rPr>
          <w:b/>
          <w:bCs/>
          <w:color w:val="auto"/>
        </w:rPr>
      </w:pPr>
    </w:p>
    <w:p w:rsidRPr="00FC4128" w:rsidR="006326EA" w:rsidP="006326EA" w:rsidRDefault="006326EA" w14:paraId="1781ADFD" w14:textId="6E7DB2F5">
      <w:pPr>
        <w:rPr>
          <w:rFonts w:asciiTheme="minorHAnsi" w:hAnsiTheme="minorHAnsi" w:cstheme="minorHAnsi"/>
          <w:b/>
          <w:bCs/>
        </w:rPr>
      </w:pPr>
      <w:r w:rsidRPr="00FC4128">
        <w:rPr>
          <w:rFonts w:asciiTheme="minorHAnsi" w:hAnsiTheme="minorHAnsi" w:cstheme="minorHAnsi"/>
          <w:b/>
          <w:bCs/>
        </w:rPr>
        <w:t>……..</w:t>
      </w:r>
    </w:p>
    <w:p w:rsidRPr="00FC4128" w:rsidR="00837643" w:rsidP="006326EA" w:rsidRDefault="00837643" w14:paraId="511EBE8A" w14:textId="77777777">
      <w:pPr>
        <w:rPr>
          <w:rFonts w:asciiTheme="minorHAnsi" w:hAnsiTheme="minorHAnsi" w:cstheme="minorHAnsi"/>
          <w:b/>
          <w:bCs/>
        </w:rPr>
      </w:pPr>
    </w:p>
    <w:p w:rsidRPr="00FC4128" w:rsidR="004F65E9" w:rsidP="004F65E9" w:rsidRDefault="004F65E9" w14:paraId="0324BA88" w14:textId="3EF46951">
      <w:pPr>
        <w:rPr>
          <w:rFonts w:asciiTheme="minorHAnsi" w:hAnsiTheme="minorHAnsi" w:cstheme="minorHAnsi"/>
          <w:u w:val="single"/>
        </w:rPr>
      </w:pPr>
      <w:r w:rsidRPr="00FC4128">
        <w:rPr>
          <w:rFonts w:asciiTheme="minorHAnsi" w:hAnsiTheme="minorHAnsi" w:cstheme="minorHAnsi"/>
          <w:b/>
          <w:bCs/>
          <w:u w:val="single"/>
        </w:rPr>
        <w:t>4.508.</w:t>
      </w:r>
      <w:r w:rsidRPr="00FC4128" w:rsidR="00FE599B">
        <w:rPr>
          <w:rFonts w:asciiTheme="minorHAnsi" w:hAnsiTheme="minorHAnsi" w:cstheme="minorHAnsi"/>
          <w:b/>
          <w:bCs/>
          <w:u w:val="single"/>
        </w:rPr>
        <w:t>1</w:t>
      </w:r>
      <w:r w:rsidRPr="00FC4128">
        <w:rPr>
          <w:rFonts w:asciiTheme="minorHAnsi" w:hAnsiTheme="minorHAnsi" w:cstheme="minorHAnsi"/>
          <w:b/>
          <w:bCs/>
          <w:u w:val="single"/>
        </w:rPr>
        <w:t xml:space="preserve"> Zero</w:t>
      </w:r>
      <w:r w:rsidRPr="00FC4128" w:rsidR="00560F71">
        <w:rPr>
          <w:rFonts w:asciiTheme="minorHAnsi" w:hAnsiTheme="minorHAnsi" w:cstheme="minorHAnsi"/>
          <w:b/>
          <w:bCs/>
          <w:u w:val="single"/>
        </w:rPr>
        <w:t>-</w:t>
      </w:r>
      <w:r w:rsidRPr="00FC4128">
        <w:rPr>
          <w:rFonts w:asciiTheme="minorHAnsi" w:hAnsiTheme="minorHAnsi" w:cstheme="minorHAnsi"/>
          <w:b/>
          <w:bCs/>
          <w:u w:val="single"/>
        </w:rPr>
        <w:t xml:space="preserve">NOx emission buildings. </w:t>
      </w:r>
      <w:r w:rsidRPr="00FC4128">
        <w:rPr>
          <w:rFonts w:asciiTheme="minorHAnsi" w:hAnsiTheme="minorHAnsi" w:cstheme="minorHAnsi"/>
          <w:u w:val="single"/>
        </w:rPr>
        <w:t xml:space="preserve">New construction buildings and substantially altered structures shall comply with Section </w:t>
      </w:r>
      <w:r w:rsidRPr="00FC4128" w:rsidR="004179DC">
        <w:rPr>
          <w:rFonts w:asciiTheme="minorHAnsi" w:hAnsiTheme="minorHAnsi" w:cstheme="minorHAnsi"/>
          <w:u w:val="single"/>
        </w:rPr>
        <w:t>4.508.1.1 or</w:t>
      </w:r>
      <w:r w:rsidRPr="00FC4128">
        <w:rPr>
          <w:rFonts w:asciiTheme="minorHAnsi" w:hAnsiTheme="minorHAnsi" w:cstheme="minorHAnsi"/>
          <w:u w:val="single"/>
        </w:rPr>
        <w:t xml:space="preserve"> </w:t>
      </w:r>
      <w:r w:rsidRPr="00FC4128" w:rsidR="004179DC">
        <w:rPr>
          <w:rFonts w:asciiTheme="minorHAnsi" w:hAnsiTheme="minorHAnsi" w:cstheme="minorHAnsi"/>
          <w:u w:val="single"/>
        </w:rPr>
        <w:t>4.508.1.2</w:t>
      </w:r>
      <w:r w:rsidRPr="00FC4128" w:rsidR="003E1847">
        <w:rPr>
          <w:rFonts w:asciiTheme="minorHAnsi" w:hAnsiTheme="minorHAnsi" w:cstheme="minorHAnsi"/>
          <w:u w:val="single"/>
        </w:rPr>
        <w:t>.</w:t>
      </w:r>
    </w:p>
    <w:p w:rsidRPr="00FC4128" w:rsidR="00676ABE" w:rsidP="004F65E9" w:rsidRDefault="00676ABE" w14:paraId="72E38CE4" w14:textId="77777777">
      <w:pPr>
        <w:rPr>
          <w:rFonts w:asciiTheme="minorHAnsi" w:hAnsiTheme="minorHAnsi" w:cstheme="minorHAnsi"/>
          <w:u w:val="single"/>
        </w:rPr>
      </w:pPr>
    </w:p>
    <w:p w:rsidRPr="00FC4128" w:rsidR="00024227" w:rsidP="006C2B20" w:rsidRDefault="57B14869" w14:paraId="1641DAFF" w14:textId="0A5FE3FA">
      <w:pPr>
        <w:pStyle w:val="Default"/>
        <w:ind w:left="360"/>
        <w:rPr>
          <w:color w:val="auto"/>
          <w:u w:val="single"/>
        </w:rPr>
      </w:pPr>
      <w:r w:rsidRPr="00FC4128">
        <w:rPr>
          <w:b/>
          <w:bCs/>
          <w:color w:val="auto"/>
          <w:u w:val="single"/>
        </w:rPr>
        <w:t xml:space="preserve">4.508.1.1. New construction. </w:t>
      </w:r>
      <w:r w:rsidRPr="00FC4128">
        <w:rPr>
          <w:color w:val="auto"/>
          <w:u w:val="single"/>
        </w:rPr>
        <w:t xml:space="preserve">Newly constructed buildings, newly constructed detached accessory dwelling units, and other newly constructed detached habitable structures shall be </w:t>
      </w:r>
      <w:r w:rsidRPr="00FC4128" w:rsidR="005930CF">
        <w:rPr>
          <w:color w:val="auto"/>
          <w:u w:val="single"/>
        </w:rPr>
        <w:t>z</w:t>
      </w:r>
      <w:r w:rsidRPr="00FC4128">
        <w:rPr>
          <w:color w:val="auto"/>
          <w:u w:val="single"/>
        </w:rPr>
        <w:t xml:space="preserve">ero-NOx </w:t>
      </w:r>
      <w:r w:rsidRPr="00FC4128" w:rsidR="005930CF">
        <w:rPr>
          <w:color w:val="auto"/>
          <w:u w:val="single"/>
        </w:rPr>
        <w:t>e</w:t>
      </w:r>
      <w:r w:rsidRPr="00FC4128">
        <w:rPr>
          <w:color w:val="auto"/>
          <w:u w:val="single"/>
        </w:rPr>
        <w:t xml:space="preserve">mission </w:t>
      </w:r>
      <w:r w:rsidRPr="00FC4128" w:rsidR="005930CF">
        <w:rPr>
          <w:color w:val="auto"/>
          <w:u w:val="single"/>
        </w:rPr>
        <w:t>b</w:t>
      </w:r>
      <w:r w:rsidRPr="00FC4128">
        <w:rPr>
          <w:color w:val="auto"/>
          <w:u w:val="single"/>
        </w:rPr>
        <w:t>uildings.</w:t>
      </w:r>
    </w:p>
    <w:p w:rsidRPr="00FC4128" w:rsidR="00024227" w:rsidP="00211AA8" w:rsidRDefault="00024227" w14:paraId="0C2A3F89" w14:textId="77777777">
      <w:pPr>
        <w:pStyle w:val="Default"/>
        <w:rPr>
          <w:color w:val="auto"/>
        </w:rPr>
      </w:pPr>
    </w:p>
    <w:p w:rsidRPr="00FC4128" w:rsidR="00B56F58" w:rsidP="006C2B20" w:rsidRDefault="00024227" w14:paraId="48502031" w14:textId="2F496219">
      <w:pPr>
        <w:pStyle w:val="Default"/>
        <w:ind w:left="360"/>
        <w:rPr>
          <w:color w:val="auto"/>
          <w:u w:val="single"/>
        </w:rPr>
      </w:pPr>
      <w:r w:rsidRPr="00FC4128">
        <w:rPr>
          <w:b/>
          <w:bCs/>
          <w:color w:val="auto"/>
          <w:u w:val="single"/>
        </w:rPr>
        <w:t>4.</w:t>
      </w:r>
      <w:r w:rsidRPr="00FC4128" w:rsidR="00A857B6">
        <w:rPr>
          <w:b/>
          <w:bCs/>
          <w:color w:val="auto"/>
          <w:u w:val="single"/>
        </w:rPr>
        <w:t>508</w:t>
      </w:r>
      <w:r w:rsidRPr="00FC4128">
        <w:rPr>
          <w:b/>
          <w:bCs/>
          <w:color w:val="auto"/>
          <w:u w:val="single"/>
        </w:rPr>
        <w:t>.</w:t>
      </w:r>
      <w:r w:rsidRPr="00FC4128" w:rsidR="00FE599B">
        <w:rPr>
          <w:b/>
          <w:bCs/>
          <w:color w:val="auto"/>
          <w:u w:val="single"/>
        </w:rPr>
        <w:t>1</w:t>
      </w:r>
      <w:r w:rsidRPr="00FC4128">
        <w:rPr>
          <w:b/>
          <w:bCs/>
          <w:color w:val="auto"/>
          <w:u w:val="single"/>
        </w:rPr>
        <w:t xml:space="preserve">.2. Substantially </w:t>
      </w:r>
      <w:r w:rsidRPr="00FC4128" w:rsidR="005930CF">
        <w:rPr>
          <w:b/>
          <w:bCs/>
          <w:color w:val="auto"/>
          <w:u w:val="single"/>
        </w:rPr>
        <w:t>a</w:t>
      </w:r>
      <w:r w:rsidRPr="00FC4128">
        <w:rPr>
          <w:b/>
          <w:bCs/>
          <w:color w:val="auto"/>
          <w:u w:val="single"/>
        </w:rPr>
        <w:t xml:space="preserve">ltered </w:t>
      </w:r>
      <w:r w:rsidRPr="00FC4128" w:rsidR="005930CF">
        <w:rPr>
          <w:b/>
          <w:bCs/>
          <w:color w:val="auto"/>
          <w:u w:val="single"/>
        </w:rPr>
        <w:t>s</w:t>
      </w:r>
      <w:r w:rsidRPr="00FC4128">
        <w:rPr>
          <w:b/>
          <w:bCs/>
          <w:color w:val="auto"/>
          <w:u w:val="single"/>
        </w:rPr>
        <w:t xml:space="preserve">tructures. </w:t>
      </w:r>
      <w:r w:rsidRPr="00FC4128">
        <w:rPr>
          <w:color w:val="auto"/>
          <w:u w:val="single"/>
        </w:rPr>
        <w:t xml:space="preserve">Substantially </w:t>
      </w:r>
      <w:r w:rsidRPr="00FC4128" w:rsidR="005930CF">
        <w:rPr>
          <w:color w:val="auto"/>
          <w:u w:val="single"/>
        </w:rPr>
        <w:t>a</w:t>
      </w:r>
      <w:r w:rsidRPr="00FC4128">
        <w:rPr>
          <w:color w:val="auto"/>
          <w:u w:val="single"/>
        </w:rPr>
        <w:t xml:space="preserve">ltered </w:t>
      </w:r>
      <w:r w:rsidRPr="00FC4128" w:rsidR="005930CF">
        <w:rPr>
          <w:color w:val="auto"/>
          <w:u w:val="single"/>
        </w:rPr>
        <w:t>s</w:t>
      </w:r>
      <w:r w:rsidRPr="00FC4128">
        <w:rPr>
          <w:color w:val="auto"/>
          <w:u w:val="single"/>
        </w:rPr>
        <w:t xml:space="preserve">tructures shall be </w:t>
      </w:r>
      <w:r w:rsidRPr="00FC4128" w:rsidR="005930CF">
        <w:rPr>
          <w:color w:val="auto"/>
          <w:u w:val="single"/>
        </w:rPr>
        <w:t>z</w:t>
      </w:r>
      <w:r w:rsidRPr="00FC4128">
        <w:rPr>
          <w:color w:val="auto"/>
          <w:u w:val="single"/>
        </w:rPr>
        <w:t xml:space="preserve">ero-NOx </w:t>
      </w:r>
      <w:r w:rsidRPr="00FC4128" w:rsidR="005930CF">
        <w:rPr>
          <w:color w:val="auto"/>
          <w:u w:val="single"/>
        </w:rPr>
        <w:t>e</w:t>
      </w:r>
      <w:r w:rsidRPr="00FC4128">
        <w:rPr>
          <w:color w:val="auto"/>
          <w:u w:val="single"/>
        </w:rPr>
        <w:t xml:space="preserve">mission </w:t>
      </w:r>
      <w:r w:rsidRPr="00FC4128" w:rsidR="005930CF">
        <w:rPr>
          <w:color w:val="auto"/>
          <w:u w:val="single"/>
        </w:rPr>
        <w:t>b</w:t>
      </w:r>
      <w:r w:rsidRPr="00FC4128">
        <w:rPr>
          <w:color w:val="auto"/>
          <w:u w:val="single"/>
        </w:rPr>
        <w:t>uildings.</w:t>
      </w:r>
    </w:p>
    <w:p w:rsidRPr="00FC4128" w:rsidR="00237CCF" w:rsidP="006C2B20" w:rsidRDefault="00237CCF" w14:paraId="6303D3AD" w14:textId="77777777">
      <w:pPr>
        <w:pStyle w:val="Default"/>
        <w:ind w:left="360"/>
        <w:rPr>
          <w:color w:val="auto"/>
          <w:u w:val="single"/>
        </w:rPr>
      </w:pPr>
    </w:p>
    <w:p w:rsidRPr="00FC4128" w:rsidR="00CB0E94" w:rsidP="00CB0E94" w:rsidRDefault="00CB0E94" w14:paraId="1C2C5708" w14:textId="77777777">
      <w:pPr>
        <w:pStyle w:val="Default"/>
        <w:rPr>
          <w:color w:val="auto"/>
        </w:rPr>
      </w:pPr>
    </w:p>
    <w:p w:rsidRPr="00FC4128" w:rsidR="00C31D98" w:rsidP="00FC4128" w:rsidRDefault="00C31D98" w14:paraId="75D82B70" w14:textId="77777777">
      <w:pPr>
        <w:pStyle w:val="Heading2"/>
      </w:pPr>
      <w:r w:rsidRPr="00FC4128">
        <w:t>CHAPTER 5 – NONRESIDENTIAL MANDATORY MEASURES</w:t>
      </w:r>
    </w:p>
    <w:p w:rsidRPr="00FC4128" w:rsidR="00C31D98" w:rsidP="00C31D98" w:rsidRDefault="00C31D98" w14:paraId="01075935" w14:textId="77777777">
      <w:pPr>
        <w:rPr>
          <w:rFonts w:asciiTheme="minorHAnsi" w:hAnsiTheme="minorHAnsi" w:cstheme="minorHAnsi"/>
        </w:rPr>
      </w:pPr>
    </w:p>
    <w:p w:rsidRPr="00FC4128" w:rsidR="00C31D98" w:rsidP="00C31D98" w:rsidRDefault="00C31D98" w14:paraId="11F600ED" w14:textId="1FA2FA82">
      <w:pPr>
        <w:rPr>
          <w:rFonts w:asciiTheme="minorHAnsi" w:hAnsiTheme="minorHAnsi" w:cstheme="minorHAnsi"/>
          <w:b/>
          <w:bCs/>
          <w:i/>
          <w:iCs/>
        </w:rPr>
      </w:pPr>
      <w:r w:rsidRPr="00FC4128">
        <w:rPr>
          <w:rFonts w:asciiTheme="minorHAnsi" w:hAnsiTheme="minorHAnsi" w:cstheme="minorHAnsi"/>
          <w:b/>
          <w:bCs/>
          <w:i/>
          <w:iCs/>
        </w:rPr>
        <w:t>Division 5.</w:t>
      </w:r>
      <w:r w:rsidRPr="00FC4128" w:rsidR="00946CCE">
        <w:rPr>
          <w:rFonts w:asciiTheme="minorHAnsi" w:hAnsiTheme="minorHAnsi" w:cstheme="minorHAnsi"/>
          <w:b/>
          <w:bCs/>
          <w:i/>
          <w:iCs/>
        </w:rPr>
        <w:t>5 Environmental Planning</w:t>
      </w:r>
    </w:p>
    <w:p w:rsidRPr="00FC4128" w:rsidR="00C31D98" w:rsidP="00C31D98" w:rsidRDefault="00C31D98" w14:paraId="258E4031" w14:textId="77777777">
      <w:pPr>
        <w:jc w:val="center"/>
        <w:rPr>
          <w:rFonts w:asciiTheme="minorHAnsi" w:hAnsiTheme="minorHAnsi" w:cstheme="minorHAnsi"/>
          <w:b/>
          <w:bCs/>
        </w:rPr>
      </w:pPr>
    </w:p>
    <w:p w:rsidRPr="00FC4128" w:rsidR="000703B4" w:rsidP="00C31D98" w:rsidRDefault="00C31D98" w14:paraId="151CFBA8" w14:textId="78299C5B">
      <w:pPr>
        <w:rPr>
          <w:rFonts w:asciiTheme="minorHAnsi" w:hAnsiTheme="minorHAnsi" w:cstheme="minorBidi"/>
          <w:b/>
          <w:bCs/>
        </w:rPr>
      </w:pPr>
      <w:r w:rsidRPr="00FC4128">
        <w:rPr>
          <w:rFonts w:asciiTheme="minorHAnsi" w:hAnsiTheme="minorHAnsi" w:cstheme="minorBidi"/>
          <w:b/>
          <w:bCs/>
        </w:rPr>
        <w:t>SECTION 5.</w:t>
      </w:r>
      <w:r w:rsidRPr="00FC4128" w:rsidR="005E1A1E">
        <w:rPr>
          <w:rFonts w:asciiTheme="minorHAnsi" w:hAnsiTheme="minorHAnsi" w:cstheme="minorBidi"/>
          <w:b/>
          <w:bCs/>
        </w:rPr>
        <w:t>508</w:t>
      </w:r>
    </w:p>
    <w:p w:rsidRPr="00FC4128" w:rsidR="00C31D98" w:rsidP="00C31D98" w:rsidRDefault="005E1A1E" w14:paraId="5D4170B4" w14:textId="79D042F9">
      <w:pPr>
        <w:rPr>
          <w:rFonts w:asciiTheme="minorHAnsi" w:hAnsiTheme="minorHAnsi" w:cstheme="minorBidi"/>
          <w:b/>
          <w:bCs/>
        </w:rPr>
      </w:pPr>
      <w:r w:rsidRPr="00FC4128">
        <w:rPr>
          <w:rFonts w:asciiTheme="minorHAnsi" w:hAnsiTheme="minorHAnsi" w:cstheme="minorBidi"/>
          <w:b/>
          <w:bCs/>
        </w:rPr>
        <w:t>OUTDOOR AIR QUALITY</w:t>
      </w:r>
    </w:p>
    <w:p w:rsidRPr="00FC4128" w:rsidR="00C31D98" w:rsidP="00C31D98" w:rsidRDefault="00C31D98" w14:paraId="328D83DE" w14:textId="77777777">
      <w:pPr>
        <w:rPr>
          <w:b/>
          <w:bCs/>
        </w:rPr>
      </w:pPr>
    </w:p>
    <w:p w:rsidRPr="00FC4128" w:rsidR="00C31D98" w:rsidP="00C31D98" w:rsidRDefault="00C31D98" w14:paraId="7A08AEF7" w14:textId="77777777">
      <w:pPr>
        <w:rPr>
          <w:rFonts w:asciiTheme="minorHAnsi" w:hAnsiTheme="minorHAnsi" w:cstheme="minorBidi"/>
          <w:b/>
          <w:bCs/>
        </w:rPr>
      </w:pPr>
      <w:r w:rsidRPr="00FC4128">
        <w:rPr>
          <w:rFonts w:asciiTheme="minorHAnsi" w:hAnsiTheme="minorHAnsi" w:cstheme="minorBidi"/>
          <w:b/>
          <w:bCs/>
        </w:rPr>
        <w:t>……..</w:t>
      </w:r>
    </w:p>
    <w:p w:rsidRPr="00FC4128" w:rsidR="006326EA" w:rsidP="00C31D98" w:rsidRDefault="006326EA" w14:paraId="2C4E0A3F" w14:textId="77777777">
      <w:pPr>
        <w:rPr>
          <w:rFonts w:asciiTheme="minorHAnsi" w:hAnsiTheme="minorHAnsi" w:cstheme="minorBidi"/>
          <w:b/>
          <w:bCs/>
        </w:rPr>
      </w:pPr>
    </w:p>
    <w:p w:rsidRPr="00FC4128" w:rsidR="006326EA" w:rsidP="57B14869" w:rsidRDefault="57B14869" w14:paraId="7717ED98" w14:textId="621AD7B4">
      <w:pPr>
        <w:rPr>
          <w:rFonts w:asciiTheme="minorHAnsi" w:hAnsiTheme="minorHAnsi" w:cstheme="minorBidi"/>
          <w:u w:val="single"/>
        </w:rPr>
      </w:pPr>
      <w:r w:rsidRPr="00FC4128">
        <w:rPr>
          <w:rFonts w:asciiTheme="minorHAnsi" w:hAnsiTheme="minorHAnsi" w:cstheme="minorBidi"/>
          <w:b/>
          <w:bCs/>
          <w:u w:val="single"/>
        </w:rPr>
        <w:t>5.508.3 Zero</w:t>
      </w:r>
      <w:r w:rsidRPr="00FC4128" w:rsidR="00560F71">
        <w:rPr>
          <w:rFonts w:asciiTheme="minorHAnsi" w:hAnsiTheme="minorHAnsi" w:cstheme="minorBidi"/>
          <w:b/>
          <w:bCs/>
          <w:u w:val="single"/>
        </w:rPr>
        <w:t>-</w:t>
      </w:r>
      <w:r w:rsidRPr="00FC4128">
        <w:rPr>
          <w:rFonts w:asciiTheme="minorHAnsi" w:hAnsiTheme="minorHAnsi" w:cstheme="minorBidi"/>
          <w:b/>
          <w:bCs/>
          <w:u w:val="single"/>
        </w:rPr>
        <w:t xml:space="preserve">NOx emission buildings. </w:t>
      </w:r>
      <w:r w:rsidRPr="00FC4128">
        <w:rPr>
          <w:rFonts w:asciiTheme="minorHAnsi" w:hAnsiTheme="minorHAnsi" w:cstheme="minorBidi"/>
          <w:u w:val="single"/>
        </w:rPr>
        <w:t xml:space="preserve">New construction buildings and substantially altered structures shall comply with Section </w:t>
      </w:r>
      <w:r w:rsidRPr="00FC4128" w:rsidR="004179DC">
        <w:rPr>
          <w:rFonts w:asciiTheme="minorHAnsi" w:hAnsiTheme="minorHAnsi" w:cstheme="minorBidi"/>
          <w:u w:val="single"/>
        </w:rPr>
        <w:t>5.508.3.1 or 5.508.3.2</w:t>
      </w:r>
      <w:r w:rsidRPr="00FC4128" w:rsidR="003E1847">
        <w:rPr>
          <w:rFonts w:asciiTheme="minorHAnsi" w:hAnsiTheme="minorHAnsi" w:cstheme="minorBidi"/>
          <w:strike/>
          <w:u w:val="single"/>
        </w:rPr>
        <w:t>.</w:t>
      </w:r>
    </w:p>
    <w:p w:rsidRPr="00FC4128" w:rsidR="006326EA" w:rsidP="006326EA" w:rsidRDefault="006326EA" w14:paraId="6C02C54B" w14:textId="77777777">
      <w:pPr>
        <w:pStyle w:val="Default"/>
        <w:rPr>
          <w:color w:val="auto"/>
        </w:rPr>
      </w:pPr>
    </w:p>
    <w:p w:rsidRPr="00FC4128" w:rsidR="006326EA" w:rsidP="006326EA" w:rsidRDefault="00242BF1" w14:paraId="4157CFCC" w14:textId="6593ACFF">
      <w:pPr>
        <w:pStyle w:val="Default"/>
        <w:ind w:left="360"/>
        <w:rPr>
          <w:color w:val="auto"/>
          <w:u w:val="single"/>
        </w:rPr>
      </w:pPr>
      <w:r w:rsidRPr="00FC4128">
        <w:rPr>
          <w:b/>
          <w:bCs/>
          <w:color w:val="auto"/>
          <w:u w:val="single"/>
        </w:rPr>
        <w:t>5</w:t>
      </w:r>
      <w:r w:rsidRPr="00FC4128" w:rsidR="006326EA">
        <w:rPr>
          <w:b/>
          <w:bCs/>
          <w:color w:val="auto"/>
          <w:u w:val="single"/>
        </w:rPr>
        <w:t>.</w:t>
      </w:r>
      <w:r w:rsidRPr="00FC4128" w:rsidR="00410CE1">
        <w:rPr>
          <w:b/>
          <w:bCs/>
          <w:color w:val="auto"/>
          <w:u w:val="single"/>
        </w:rPr>
        <w:t>508</w:t>
      </w:r>
      <w:r w:rsidRPr="00FC4128" w:rsidR="006326EA">
        <w:rPr>
          <w:b/>
          <w:bCs/>
          <w:color w:val="auto"/>
          <w:u w:val="single"/>
        </w:rPr>
        <w:t>.</w:t>
      </w:r>
      <w:r w:rsidRPr="00FC4128" w:rsidR="003F1C21">
        <w:rPr>
          <w:b/>
          <w:bCs/>
          <w:color w:val="auto"/>
          <w:u w:val="single"/>
        </w:rPr>
        <w:t>3</w:t>
      </w:r>
      <w:r w:rsidRPr="00FC4128" w:rsidR="006326EA">
        <w:rPr>
          <w:b/>
          <w:bCs/>
          <w:color w:val="auto"/>
          <w:u w:val="single"/>
        </w:rPr>
        <w:t xml:space="preserve">.1. New construction. </w:t>
      </w:r>
      <w:r w:rsidRPr="00FC4128" w:rsidR="00DF471D">
        <w:rPr>
          <w:color w:val="auto"/>
          <w:u w:val="single"/>
        </w:rPr>
        <w:t>N</w:t>
      </w:r>
      <w:r w:rsidRPr="00FC4128" w:rsidR="006326EA">
        <w:rPr>
          <w:color w:val="auto"/>
          <w:u w:val="single"/>
        </w:rPr>
        <w:t xml:space="preserve">ewly constructed buildings and other newly constructed detached habitable structures shall be </w:t>
      </w:r>
      <w:r w:rsidRPr="00FC4128" w:rsidR="005930CF">
        <w:rPr>
          <w:color w:val="auto"/>
          <w:u w:val="single"/>
        </w:rPr>
        <w:t>z</w:t>
      </w:r>
      <w:r w:rsidRPr="00FC4128" w:rsidR="006326EA">
        <w:rPr>
          <w:color w:val="auto"/>
          <w:u w:val="single"/>
        </w:rPr>
        <w:t xml:space="preserve">ero-NOx </w:t>
      </w:r>
      <w:r w:rsidRPr="00FC4128" w:rsidR="005930CF">
        <w:rPr>
          <w:color w:val="auto"/>
          <w:u w:val="single"/>
        </w:rPr>
        <w:t>e</w:t>
      </w:r>
      <w:r w:rsidRPr="00FC4128" w:rsidR="006326EA">
        <w:rPr>
          <w:color w:val="auto"/>
          <w:u w:val="single"/>
        </w:rPr>
        <w:t xml:space="preserve">mission </w:t>
      </w:r>
      <w:r w:rsidRPr="00FC4128" w:rsidR="005930CF">
        <w:rPr>
          <w:color w:val="auto"/>
          <w:u w:val="single"/>
        </w:rPr>
        <w:t>b</w:t>
      </w:r>
      <w:r w:rsidRPr="00FC4128" w:rsidR="006326EA">
        <w:rPr>
          <w:color w:val="auto"/>
          <w:u w:val="single"/>
        </w:rPr>
        <w:t>uildings.</w:t>
      </w:r>
    </w:p>
    <w:p w:rsidRPr="00FC4128" w:rsidR="006326EA" w:rsidP="006326EA" w:rsidRDefault="006326EA" w14:paraId="60CBA132" w14:textId="77777777">
      <w:pPr>
        <w:pStyle w:val="Default"/>
        <w:rPr>
          <w:color w:val="auto"/>
        </w:rPr>
      </w:pPr>
    </w:p>
    <w:p w:rsidRPr="00FC4128" w:rsidR="00412169" w:rsidP="00412169" w:rsidRDefault="00242BF1" w14:paraId="6BAEC7D1" w14:textId="3118E800">
      <w:pPr>
        <w:pStyle w:val="Default"/>
        <w:ind w:left="360"/>
        <w:rPr>
          <w:color w:val="auto"/>
          <w:u w:val="single"/>
        </w:rPr>
      </w:pPr>
      <w:r w:rsidRPr="00FC4128">
        <w:rPr>
          <w:b/>
          <w:bCs/>
          <w:color w:val="auto"/>
          <w:u w:val="single"/>
        </w:rPr>
        <w:t>5</w:t>
      </w:r>
      <w:r w:rsidRPr="00FC4128" w:rsidR="006326EA">
        <w:rPr>
          <w:b/>
          <w:bCs/>
          <w:color w:val="auto"/>
          <w:u w:val="single"/>
        </w:rPr>
        <w:t>.</w:t>
      </w:r>
      <w:r w:rsidRPr="00FC4128" w:rsidR="00410CE1">
        <w:rPr>
          <w:b/>
          <w:bCs/>
          <w:color w:val="auto"/>
          <w:u w:val="single"/>
        </w:rPr>
        <w:t>508</w:t>
      </w:r>
      <w:r w:rsidRPr="00FC4128" w:rsidR="006326EA">
        <w:rPr>
          <w:b/>
          <w:bCs/>
          <w:color w:val="auto"/>
          <w:u w:val="single"/>
        </w:rPr>
        <w:t>.</w:t>
      </w:r>
      <w:r w:rsidRPr="00FC4128" w:rsidR="003F1C21">
        <w:rPr>
          <w:b/>
          <w:bCs/>
          <w:color w:val="auto"/>
          <w:u w:val="single"/>
        </w:rPr>
        <w:t>3</w:t>
      </w:r>
      <w:r w:rsidRPr="00FC4128" w:rsidR="006326EA">
        <w:rPr>
          <w:b/>
          <w:bCs/>
          <w:color w:val="auto"/>
          <w:u w:val="single"/>
        </w:rPr>
        <w:t xml:space="preserve">.2. Substantially </w:t>
      </w:r>
      <w:r w:rsidRPr="00FC4128" w:rsidR="005930CF">
        <w:rPr>
          <w:b/>
          <w:bCs/>
          <w:color w:val="auto"/>
          <w:u w:val="single"/>
        </w:rPr>
        <w:t>a</w:t>
      </w:r>
      <w:r w:rsidRPr="00FC4128" w:rsidR="006326EA">
        <w:rPr>
          <w:b/>
          <w:bCs/>
          <w:color w:val="auto"/>
          <w:u w:val="single"/>
        </w:rPr>
        <w:t xml:space="preserve">ltered </w:t>
      </w:r>
      <w:r w:rsidRPr="00FC4128" w:rsidR="005930CF">
        <w:rPr>
          <w:b/>
          <w:bCs/>
          <w:color w:val="auto"/>
          <w:u w:val="single"/>
        </w:rPr>
        <w:t>s</w:t>
      </w:r>
      <w:r w:rsidRPr="00FC4128" w:rsidR="006326EA">
        <w:rPr>
          <w:b/>
          <w:bCs/>
          <w:color w:val="auto"/>
          <w:u w:val="single"/>
        </w:rPr>
        <w:t xml:space="preserve">tructures. </w:t>
      </w:r>
      <w:r w:rsidRPr="00FC4128" w:rsidR="006326EA">
        <w:rPr>
          <w:color w:val="auto"/>
          <w:u w:val="single"/>
        </w:rPr>
        <w:t xml:space="preserve">Substantially </w:t>
      </w:r>
      <w:r w:rsidRPr="00FC4128" w:rsidR="005930CF">
        <w:rPr>
          <w:color w:val="auto"/>
          <w:u w:val="single"/>
        </w:rPr>
        <w:t>a</w:t>
      </w:r>
      <w:r w:rsidRPr="00FC4128" w:rsidR="006326EA">
        <w:rPr>
          <w:color w:val="auto"/>
          <w:u w:val="single"/>
        </w:rPr>
        <w:t xml:space="preserve">ltered </w:t>
      </w:r>
      <w:r w:rsidRPr="00FC4128" w:rsidR="005930CF">
        <w:rPr>
          <w:color w:val="auto"/>
          <w:u w:val="single"/>
        </w:rPr>
        <w:t>s</w:t>
      </w:r>
      <w:r w:rsidRPr="00FC4128" w:rsidR="006326EA">
        <w:rPr>
          <w:color w:val="auto"/>
          <w:u w:val="single"/>
        </w:rPr>
        <w:t xml:space="preserve">tructures shall be </w:t>
      </w:r>
      <w:r w:rsidRPr="00FC4128" w:rsidR="005930CF">
        <w:rPr>
          <w:color w:val="auto"/>
          <w:u w:val="single"/>
        </w:rPr>
        <w:t>z</w:t>
      </w:r>
      <w:r w:rsidRPr="00FC4128" w:rsidR="006326EA">
        <w:rPr>
          <w:color w:val="auto"/>
          <w:u w:val="single"/>
        </w:rPr>
        <w:t xml:space="preserve">ero-NOx </w:t>
      </w:r>
      <w:r w:rsidRPr="00FC4128" w:rsidR="005930CF">
        <w:rPr>
          <w:color w:val="auto"/>
          <w:u w:val="single"/>
        </w:rPr>
        <w:t>e</w:t>
      </w:r>
      <w:r w:rsidRPr="00FC4128" w:rsidR="006326EA">
        <w:rPr>
          <w:color w:val="auto"/>
          <w:u w:val="single"/>
        </w:rPr>
        <w:t xml:space="preserve">mission </w:t>
      </w:r>
      <w:r w:rsidRPr="00FC4128" w:rsidR="005930CF">
        <w:rPr>
          <w:color w:val="auto"/>
          <w:u w:val="single"/>
        </w:rPr>
        <w:t>b</w:t>
      </w:r>
      <w:r w:rsidRPr="00FC4128" w:rsidR="006326EA">
        <w:rPr>
          <w:color w:val="auto"/>
          <w:u w:val="single"/>
        </w:rPr>
        <w:t>uildings.</w:t>
      </w:r>
    </w:p>
    <w:p w:rsidRPr="00FC4128" w:rsidR="00F56716" w:rsidP="00412169" w:rsidRDefault="00F56716" w14:paraId="19DD90EA" w14:textId="77777777">
      <w:pPr>
        <w:pStyle w:val="Default"/>
        <w:ind w:left="360"/>
        <w:rPr>
          <w:color w:val="auto"/>
          <w:u w:val="single"/>
        </w:rPr>
      </w:pPr>
    </w:p>
    <w:p w:rsidRPr="00FC4128" w:rsidR="00F56716" w:rsidP="00412169" w:rsidRDefault="00F56716" w14:paraId="679ACAE7" w14:textId="77777777">
      <w:pPr>
        <w:pStyle w:val="Default"/>
        <w:ind w:left="360"/>
        <w:rPr>
          <w:color w:val="auto"/>
          <w:u w:val="single"/>
        </w:rPr>
      </w:pPr>
    </w:p>
    <w:p w:rsidRPr="00FC4128" w:rsidR="00F56716" w:rsidP="003E1847" w:rsidRDefault="00F67B2F" w14:paraId="5FF893E7" w14:textId="311DAB01">
      <w:pPr>
        <w:pStyle w:val="Default"/>
        <w:rPr>
          <w:b/>
          <w:bCs/>
          <w:color w:val="auto"/>
          <w:u w:val="single"/>
        </w:rPr>
      </w:pPr>
      <w:r w:rsidRPr="00FC4128">
        <w:rPr>
          <w:b/>
          <w:bCs/>
          <w:color w:val="auto"/>
          <w:highlight w:val="yellow"/>
          <w:u w:val="single"/>
        </w:rPr>
        <w:t xml:space="preserve">Note: </w:t>
      </w:r>
      <w:r w:rsidRPr="00FC4128" w:rsidR="00587FFC">
        <w:rPr>
          <w:color w:val="auto"/>
          <w:highlight w:val="yellow"/>
          <w:u w:val="single"/>
        </w:rPr>
        <w:t>Items</w:t>
      </w:r>
      <w:r w:rsidRPr="00FC4128">
        <w:rPr>
          <w:color w:val="auto"/>
          <w:highlight w:val="yellow"/>
          <w:u w:val="single"/>
        </w:rPr>
        <w:t xml:space="preserve"> </w:t>
      </w:r>
      <w:r w:rsidRPr="00FC4128" w:rsidR="00A26C4B">
        <w:rPr>
          <w:color w:val="auto"/>
          <w:highlight w:val="yellow"/>
          <w:u w:val="single"/>
        </w:rPr>
        <w:t xml:space="preserve">from Appendix A </w:t>
      </w:r>
      <w:r w:rsidRPr="00FC4128">
        <w:rPr>
          <w:color w:val="auto"/>
          <w:highlight w:val="yellow"/>
          <w:u w:val="single"/>
        </w:rPr>
        <w:t>may be included</w:t>
      </w:r>
      <w:r w:rsidRPr="00FC4128" w:rsidR="00587FFC">
        <w:rPr>
          <w:color w:val="auto"/>
          <w:highlight w:val="yellow"/>
          <w:u w:val="single"/>
        </w:rPr>
        <w:t xml:space="preserve"> in the above code language</w:t>
      </w:r>
      <w:r w:rsidRPr="00FC4128">
        <w:rPr>
          <w:color w:val="auto"/>
          <w:highlight w:val="yellow"/>
          <w:u w:val="single"/>
        </w:rPr>
        <w:t xml:space="preserve"> </w:t>
      </w:r>
      <w:r w:rsidRPr="00FC4128" w:rsidR="00A26C4B">
        <w:rPr>
          <w:color w:val="auto"/>
          <w:highlight w:val="yellow"/>
          <w:u w:val="single"/>
        </w:rPr>
        <w:t xml:space="preserve">to customize </w:t>
      </w:r>
      <w:r w:rsidRPr="00FC4128" w:rsidR="00587FFC">
        <w:rPr>
          <w:color w:val="auto"/>
          <w:highlight w:val="yellow"/>
          <w:u w:val="single"/>
        </w:rPr>
        <w:t xml:space="preserve">the policy </w:t>
      </w:r>
      <w:r w:rsidRPr="00FC4128" w:rsidR="00A26C4B">
        <w:rPr>
          <w:color w:val="auto"/>
          <w:highlight w:val="yellow"/>
          <w:u w:val="single"/>
        </w:rPr>
        <w:t>per jurisdiction.</w:t>
      </w:r>
      <w:r w:rsidRPr="00FC4128" w:rsidR="00587FFC">
        <w:rPr>
          <w:color w:val="auto"/>
          <w:highlight w:val="yellow"/>
          <w:u w:val="single"/>
        </w:rPr>
        <w:t xml:space="preserve"> Delete this note before finalizing code.</w:t>
      </w:r>
    </w:p>
    <w:p w:rsidRPr="00FC4128" w:rsidR="00412169" w:rsidP="003E1847" w:rsidRDefault="00412169" w14:paraId="3F9DA05D" w14:textId="52BDFC9F">
      <w:pPr>
        <w:widowControl/>
        <w:kinsoku/>
        <w:spacing w:after="160" w:line="259" w:lineRule="auto"/>
        <w:rPr>
          <w:rStyle w:val="normaltextrun"/>
          <w:rFonts w:ascii="Calibri" w:hAnsi="Calibri" w:cs="Calibri"/>
          <w:b/>
          <w:bCs/>
          <w:u w:val="single"/>
        </w:rPr>
      </w:pPr>
      <w:r w:rsidRPr="00FC4128">
        <w:rPr>
          <w:b/>
          <w:bCs/>
          <w:u w:val="single"/>
        </w:rPr>
        <w:br w:type="page"/>
      </w:r>
    </w:p>
    <w:p w:rsidRPr="00FC4128" w:rsidR="00F56716" w:rsidP="00FC4128" w:rsidRDefault="00F56716" w14:paraId="390CC32A" w14:textId="1421A4A7">
      <w:pPr>
        <w:pStyle w:val="Heading1"/>
        <w:rPr>
          <w:rStyle w:val="CharacterStyle2"/>
          <w:sz w:val="24"/>
        </w:rPr>
      </w:pPr>
      <w:r w:rsidRPr="00FC4128">
        <w:rPr>
          <w:rStyle w:val="CharacterStyle2"/>
          <w:sz w:val="24"/>
        </w:rPr>
        <w:lastRenderedPageBreak/>
        <w:t>APPENDIX A</w:t>
      </w:r>
    </w:p>
    <w:p w:rsidRPr="00FC4128" w:rsidR="005930CF" w:rsidP="005930CF" w:rsidRDefault="005930CF" w14:paraId="5E1223B5" w14:textId="2A192D25">
      <w:pPr>
        <w:rPr>
          <w:rFonts w:asciiTheme="minorHAnsi" w:hAnsiTheme="minorHAnsi" w:cstheme="minorHAnsi"/>
          <w:i/>
          <w:iCs/>
        </w:rPr>
      </w:pPr>
      <w:r w:rsidRPr="00FC4128">
        <w:rPr>
          <w:rFonts w:asciiTheme="minorHAnsi" w:hAnsiTheme="minorHAnsi" w:cstheme="minorHAnsi"/>
          <w:i/>
          <w:iCs/>
        </w:rPr>
        <w:t>Language contained in this appendix may be included in the model code above to customize code language per jurisdiction.</w:t>
      </w:r>
      <w:r w:rsidRPr="00FC4128" w:rsidR="009726D7">
        <w:rPr>
          <w:rFonts w:asciiTheme="minorHAnsi" w:hAnsiTheme="minorHAnsi" w:cstheme="minorHAnsi"/>
          <w:i/>
          <w:iCs/>
        </w:rPr>
        <w:t xml:space="preserve"> Specific sections can be selected for inclusion.</w:t>
      </w:r>
    </w:p>
    <w:p w:rsidRPr="00FC4128" w:rsidR="005930CF" w:rsidP="005930CF" w:rsidRDefault="005930CF" w14:paraId="2640EF48" w14:textId="77777777">
      <w:pPr>
        <w:rPr>
          <w:i/>
          <w:iCs/>
        </w:rPr>
      </w:pPr>
    </w:p>
    <w:p w:rsidRPr="00FC4128" w:rsidR="00412169" w:rsidP="00412169" w:rsidRDefault="00412169" w14:paraId="4E698AED" w14:textId="77777777">
      <w:pPr>
        <w:pBdr>
          <w:bottom w:val="single" w:color="auto" w:sz="6" w:space="1"/>
        </w:pBdr>
        <w:rPr>
          <w:rFonts w:asciiTheme="minorHAnsi" w:hAnsiTheme="minorHAnsi" w:cstheme="minorBidi"/>
          <w:b/>
          <w:bCs/>
        </w:rPr>
      </w:pPr>
    </w:p>
    <w:p w:rsidRPr="00FC4128" w:rsidR="00412169" w:rsidP="00412169" w:rsidRDefault="00412169" w14:paraId="6FFDFD1F" w14:textId="77777777">
      <w:pPr>
        <w:rPr>
          <w:rStyle w:val="normaltextrun"/>
          <w:rFonts w:ascii="Calibri" w:hAnsi="Calibri" w:cs="Calibri"/>
          <w:b/>
          <w:bCs/>
          <w:u w:val="single"/>
          <w:shd w:val="clear" w:color="auto" w:fill="FFFFFF"/>
        </w:rPr>
      </w:pPr>
    </w:p>
    <w:p w:rsidRPr="00FC4128" w:rsidR="00412169" w:rsidP="00FC4128" w:rsidRDefault="00412169" w14:paraId="7DE4725D" w14:textId="77777777">
      <w:pPr>
        <w:pStyle w:val="Heading2"/>
        <w:rPr>
          <w:rStyle w:val="eop"/>
          <w:rFonts w:ascii="Calibri" w:hAnsi="Calibri" w:cs="Calibri"/>
          <w:szCs w:val="24"/>
          <w:shd w:val="clear" w:color="auto" w:fill="FFFFFF"/>
        </w:rPr>
      </w:pPr>
      <w:r w:rsidRPr="00FC4128">
        <w:rPr>
          <w:rStyle w:val="normaltextrun"/>
          <w:rFonts w:ascii="Calibri" w:hAnsi="Calibri" w:cs="Calibri"/>
          <w:szCs w:val="24"/>
          <w:shd w:val="clear" w:color="auto" w:fill="FFFFFF"/>
        </w:rPr>
        <w:t>CHAPTER 2 – DEFINITIONS</w:t>
      </w:r>
      <w:r w:rsidRPr="00FC4128">
        <w:rPr>
          <w:rStyle w:val="eop"/>
          <w:rFonts w:ascii="Calibri" w:hAnsi="Calibri" w:cs="Calibri"/>
          <w:szCs w:val="24"/>
          <w:shd w:val="clear" w:color="auto" w:fill="FFFFFF"/>
        </w:rPr>
        <w:t> </w:t>
      </w:r>
    </w:p>
    <w:p w:rsidRPr="00FC4128" w:rsidR="00412169" w:rsidP="00412169" w:rsidRDefault="00412169" w14:paraId="40044D66" w14:textId="77777777">
      <w:pPr>
        <w:rPr>
          <w:rStyle w:val="eop"/>
          <w:rFonts w:ascii="Calibri" w:hAnsi="Calibri" w:cs="Calibri"/>
          <w:shd w:val="clear" w:color="auto" w:fill="FFFFFF"/>
        </w:rPr>
      </w:pPr>
    </w:p>
    <w:p w:rsidRPr="00FC4128" w:rsidR="00412169" w:rsidP="00412169" w:rsidRDefault="00412169" w14:paraId="001A2663"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063F5FC3" w14:textId="77777777">
      <w:pPr>
        <w:rPr>
          <w:rStyle w:val="eop"/>
          <w:rFonts w:ascii="Calibri" w:hAnsi="Calibri" w:cs="Calibri"/>
          <w:shd w:val="clear" w:color="auto" w:fill="FFFFFF"/>
        </w:rPr>
      </w:pPr>
    </w:p>
    <w:p w:rsidRPr="00FC4128" w:rsidR="00412169" w:rsidP="00412169" w:rsidRDefault="00412169" w14:paraId="48496D5E" w14:textId="77777777">
      <w:pPr>
        <w:rPr>
          <w:rStyle w:val="eop"/>
          <w:rFonts w:ascii="Calibri" w:hAnsi="Calibri" w:cs="Calibri"/>
          <w:color w:val="000000"/>
          <w:shd w:val="clear" w:color="auto" w:fill="FFFFFF"/>
        </w:rPr>
      </w:pPr>
      <w:r w:rsidRPr="00FC4128">
        <w:rPr>
          <w:rStyle w:val="findhit"/>
          <w:rFonts w:ascii="Calibri" w:hAnsi="Calibri" w:cs="Calibri"/>
          <w:b/>
          <w:bCs/>
          <w:color w:val="000000"/>
          <w:u w:val="single"/>
          <w:shd w:val="clear" w:color="auto" w:fill="FFFFFF"/>
        </w:rPr>
        <w:t>COMMERCIAL</w:t>
      </w:r>
      <w:r w:rsidRPr="00FC4128">
        <w:rPr>
          <w:rStyle w:val="normaltextrun"/>
          <w:rFonts w:ascii="Calibri" w:hAnsi="Calibri" w:cs="Calibri"/>
          <w:b/>
          <w:bCs/>
          <w:color w:val="000000"/>
          <w:u w:val="single"/>
          <w:shd w:val="clear" w:color="auto" w:fill="FFFFFF"/>
        </w:rPr>
        <w:t xml:space="preserve"> FOOD HEAT-PROCESSING EQUIPMENT.</w:t>
      </w:r>
      <w:r w:rsidRPr="00FC4128">
        <w:rPr>
          <w:rStyle w:val="normaltextrun"/>
          <w:rFonts w:ascii="Calibri" w:hAnsi="Calibri" w:cs="Calibri"/>
          <w:color w:val="000000"/>
          <w:u w:val="single"/>
          <w:shd w:val="clear" w:color="auto" w:fill="FFFFFF"/>
        </w:rPr>
        <w:t xml:space="preserve"> An equipment used in a food establishment for heat-processing food or utensils and that produces grease vapors, steam, fumes, smoke, or odors that are required to be removed through a local exhaust ventilation system, as defined in the California Mechanical Code.</w:t>
      </w:r>
      <w:r w:rsidRPr="00FC4128">
        <w:rPr>
          <w:rStyle w:val="eop"/>
          <w:rFonts w:ascii="Calibri" w:hAnsi="Calibri" w:cs="Calibri"/>
          <w:color w:val="000000"/>
          <w:shd w:val="clear" w:color="auto" w:fill="FFFFFF"/>
        </w:rPr>
        <w:t> </w:t>
      </w:r>
    </w:p>
    <w:p w:rsidRPr="00FC4128" w:rsidR="00412169" w:rsidP="00412169" w:rsidRDefault="00412169" w14:paraId="43F599D5" w14:textId="77777777">
      <w:pPr>
        <w:rPr>
          <w:rStyle w:val="eop"/>
          <w:rFonts w:ascii="Calibri" w:hAnsi="Calibri" w:cs="Calibri"/>
          <w:color w:val="000000"/>
          <w:shd w:val="clear" w:color="auto" w:fill="FFFFFF"/>
        </w:rPr>
      </w:pPr>
    </w:p>
    <w:p w:rsidRPr="00FC4128" w:rsidR="00412169" w:rsidP="00412169" w:rsidRDefault="00412169" w14:paraId="401B5C8B" w14:textId="77777777">
      <w:pPr>
        <w:pStyle w:val="Default"/>
        <w:rPr>
          <w:rStyle w:val="eop"/>
          <w:color w:val="auto"/>
          <w:u w:val="single"/>
        </w:rPr>
      </w:pPr>
      <w:r w:rsidRPr="00FC4128">
        <w:rPr>
          <w:b/>
          <w:bCs/>
          <w:color w:val="auto"/>
          <w:u w:val="single"/>
        </w:rPr>
        <w:t xml:space="preserve">TECHNICALLY INFEASIBLE. </w:t>
      </w:r>
      <w:r w:rsidRPr="00FC4128">
        <w:rPr>
          <w:color w:val="auto"/>
          <w:u w:val="single"/>
        </w:rPr>
        <w:t xml:space="preserve">With respect to an alteration of a building or a facility, there is a low likelihood of successfully completing the alteration because existing building or site constraints prevent the modification or addition of elements, spaces, or features that would fully and strictly comply with the minimum requirements for new construction and are necessary for compliance. Examples include but are not limited to, utility conflicts, service capacity constraints, or construction limitations due to environmental conditions. </w:t>
      </w:r>
    </w:p>
    <w:p w:rsidRPr="00FC4128" w:rsidR="00412169" w:rsidP="00412169" w:rsidRDefault="00412169" w14:paraId="74BA0401" w14:textId="77777777">
      <w:pPr>
        <w:rPr>
          <w:rStyle w:val="eop"/>
          <w:rFonts w:ascii="Calibri" w:hAnsi="Calibri" w:cs="Calibri"/>
          <w:color w:val="000000"/>
          <w:shd w:val="clear" w:color="auto" w:fill="FFFFFF"/>
        </w:rPr>
      </w:pPr>
    </w:p>
    <w:p w:rsidRPr="00FC4128" w:rsidR="00412169" w:rsidP="00412169" w:rsidRDefault="00412169" w14:paraId="1F388D75"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579774FB" w14:textId="77777777">
      <w:pPr>
        <w:rPr>
          <w:rFonts w:eastAsia="Times New Roman" w:asciiTheme="minorHAnsi" w:hAnsiTheme="minorHAnsi" w:cstheme="minorHAnsi"/>
        </w:rPr>
      </w:pPr>
    </w:p>
    <w:p w:rsidRPr="00FC4128" w:rsidR="00412169" w:rsidP="00FC4128" w:rsidRDefault="00412169" w14:paraId="686F92DA" w14:textId="77777777">
      <w:pPr>
        <w:pStyle w:val="Heading2"/>
        <w:rPr>
          <w:rFonts w:ascii="Segoe UI" w:hAnsi="Segoe UI" w:cs="Segoe UI"/>
          <w:color w:val="1F3763"/>
        </w:rPr>
      </w:pPr>
      <w:r w:rsidRPr="00FC4128">
        <w:rPr>
          <w:rStyle w:val="normaltextrun"/>
          <w:rFonts w:ascii="Calibri" w:hAnsi="Calibri" w:cs="Calibri"/>
          <w:szCs w:val="24"/>
        </w:rPr>
        <w:t>CHAPTER 4 – RESIDENTIAL MANDATORY MEASURES</w:t>
      </w:r>
      <w:r w:rsidRPr="00FC4128">
        <w:rPr>
          <w:rStyle w:val="eop"/>
          <w:rFonts w:ascii="Calibri" w:hAnsi="Calibri" w:cs="Calibri"/>
          <w:szCs w:val="24"/>
        </w:rPr>
        <w:t> </w:t>
      </w:r>
    </w:p>
    <w:p w:rsidRPr="00FC4128" w:rsidR="00412169" w:rsidP="00412169" w:rsidRDefault="00412169" w14:paraId="1B61B4F3" w14:textId="77777777">
      <w:pPr>
        <w:pStyle w:val="paragraph"/>
        <w:spacing w:before="0" w:beforeAutospacing="0" w:after="0" w:afterAutospacing="0"/>
        <w:textAlignment w:val="baseline"/>
        <w:rPr>
          <w:rFonts w:ascii="Segoe UI" w:hAnsi="Segoe UI" w:cs="Segoe UI"/>
        </w:rPr>
      </w:pPr>
      <w:r w:rsidRPr="00FC4128">
        <w:rPr>
          <w:rStyle w:val="eop"/>
          <w:rFonts w:ascii="Calibri" w:hAnsi="Calibri" w:cs="Calibri" w:eastAsiaTheme="majorEastAsia"/>
        </w:rPr>
        <w:t> </w:t>
      </w:r>
    </w:p>
    <w:p w:rsidRPr="00FC4128" w:rsidR="00412169" w:rsidP="00412169" w:rsidRDefault="00412169" w14:paraId="0E679C81" w14:textId="77777777">
      <w:pPr>
        <w:pStyle w:val="paragraph"/>
        <w:spacing w:before="0" w:beforeAutospacing="0" w:after="0" w:afterAutospacing="0"/>
        <w:textAlignment w:val="baseline"/>
        <w:rPr>
          <w:rStyle w:val="eop"/>
          <w:rFonts w:ascii="Calibri" w:hAnsi="Calibri" w:cs="Calibri" w:eastAsiaTheme="majorEastAsia"/>
          <w:i/>
          <w:iCs/>
        </w:rPr>
      </w:pPr>
      <w:r w:rsidRPr="00FC4128">
        <w:rPr>
          <w:rStyle w:val="normaltextrun"/>
          <w:rFonts w:ascii="Calibri" w:hAnsi="Calibri" w:cs="Calibri"/>
          <w:b/>
          <w:bCs/>
          <w:i/>
          <w:iCs/>
        </w:rPr>
        <w:t>Division 4.5 Environmental Planning</w:t>
      </w:r>
      <w:r w:rsidRPr="00FC4128">
        <w:rPr>
          <w:rStyle w:val="eop"/>
          <w:rFonts w:ascii="Calibri" w:hAnsi="Calibri" w:cs="Calibri" w:eastAsiaTheme="majorEastAsia"/>
          <w:i/>
          <w:iCs/>
        </w:rPr>
        <w:t> </w:t>
      </w:r>
    </w:p>
    <w:p w:rsidRPr="00FC4128" w:rsidR="00412169" w:rsidP="00412169" w:rsidRDefault="00412169" w14:paraId="37EBCC9E" w14:textId="77777777">
      <w:pPr>
        <w:rPr>
          <w:rStyle w:val="normaltextrun"/>
          <w:rFonts w:ascii="Calibri" w:hAnsi="Calibri" w:cs="Calibri"/>
          <w:b/>
          <w:bCs/>
          <w:color w:val="000000"/>
          <w:shd w:val="clear" w:color="auto" w:fill="FFFFFF"/>
        </w:rPr>
      </w:pPr>
    </w:p>
    <w:p w:rsidRPr="00FC4128" w:rsidR="00412169" w:rsidP="00412169" w:rsidRDefault="00412169" w14:paraId="6C159560"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131064C3" w14:textId="77777777">
      <w:pPr>
        <w:pStyle w:val="paragraph"/>
        <w:spacing w:before="0" w:beforeAutospacing="0" w:after="0" w:afterAutospacing="0"/>
        <w:textAlignment w:val="baseline"/>
        <w:rPr>
          <w:rStyle w:val="eop"/>
          <w:rFonts w:ascii="Calibri" w:hAnsi="Calibri" w:cs="Calibri" w:eastAsiaTheme="majorEastAsia"/>
        </w:rPr>
      </w:pPr>
    </w:p>
    <w:p w:rsidRPr="00FC4128" w:rsidR="00412169" w:rsidP="00412169" w:rsidRDefault="00412169" w14:paraId="76F63B11" w14:textId="77777777">
      <w:pPr>
        <w:pStyle w:val="paragraph"/>
        <w:spacing w:before="0" w:beforeAutospacing="0" w:after="0" w:afterAutospacing="0"/>
        <w:textAlignment w:val="baseline"/>
        <w:rPr>
          <w:rFonts w:ascii="Segoe UI" w:hAnsi="Segoe UI" w:cs="Segoe UI"/>
        </w:rPr>
      </w:pPr>
      <w:r w:rsidRPr="00FC4128">
        <w:rPr>
          <w:rStyle w:val="normaltextrun"/>
          <w:rFonts w:ascii="Calibri" w:hAnsi="Calibri" w:cs="Calibri"/>
          <w:b/>
          <w:bCs/>
        </w:rPr>
        <w:t>SECTION 4.508</w:t>
      </w:r>
    </w:p>
    <w:p w:rsidRPr="00FC4128" w:rsidR="00412169" w:rsidP="005930CF" w:rsidRDefault="00412169" w14:paraId="4DE48425" w14:textId="0B687922">
      <w:pPr>
        <w:rPr>
          <w:rFonts w:asciiTheme="minorHAnsi" w:hAnsiTheme="minorHAnsi" w:cstheme="minorBidi"/>
          <w:b/>
          <w:bCs/>
        </w:rPr>
      </w:pPr>
      <w:r w:rsidRPr="00FC4128">
        <w:rPr>
          <w:rFonts w:asciiTheme="minorHAnsi" w:hAnsiTheme="minorHAnsi" w:cstheme="minorBidi"/>
          <w:b/>
          <w:bCs/>
        </w:rPr>
        <w:t>OUTDOOR AIR QUALITY</w:t>
      </w:r>
    </w:p>
    <w:p w:rsidRPr="00FC4128" w:rsidR="00412169" w:rsidP="00412169" w:rsidRDefault="00412169" w14:paraId="52AE705C" w14:textId="77777777">
      <w:pPr>
        <w:pStyle w:val="paragraph"/>
        <w:spacing w:before="0" w:beforeAutospacing="0" w:after="0" w:afterAutospacing="0"/>
        <w:textAlignment w:val="baseline"/>
        <w:rPr>
          <w:rFonts w:ascii="Segoe UI" w:hAnsi="Segoe UI" w:cs="Segoe UI"/>
        </w:rPr>
      </w:pPr>
    </w:p>
    <w:p w:rsidRPr="00FC4128" w:rsidR="00412169" w:rsidP="00412169" w:rsidRDefault="00412169" w14:paraId="09194900" w14:textId="77777777">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4.508.1 Zero-NOx emission buildings</w:t>
      </w:r>
    </w:p>
    <w:p w:rsidRPr="00FC4128" w:rsidR="00412169" w:rsidP="00412169" w:rsidRDefault="00412169" w14:paraId="2A1234BB" w14:textId="77777777">
      <w:pPr>
        <w:rPr>
          <w:rStyle w:val="normaltextrun"/>
          <w:rFonts w:ascii="Calibri" w:hAnsi="Calibri" w:cs="Calibri"/>
          <w:b/>
          <w:bCs/>
          <w:color w:val="000000"/>
          <w:u w:val="single"/>
          <w:shd w:val="clear" w:color="auto" w:fill="FFFFFF"/>
        </w:rPr>
      </w:pPr>
    </w:p>
    <w:p w:rsidRPr="00FC4128" w:rsidR="00412169" w:rsidP="00412169" w:rsidRDefault="00412169" w14:paraId="177DB876"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4D1A4821" w14:textId="77777777">
      <w:pPr>
        <w:rPr>
          <w:rStyle w:val="normaltextrun"/>
          <w:rFonts w:ascii="Calibri" w:hAnsi="Calibri" w:cs="Calibri"/>
          <w:b/>
          <w:bCs/>
          <w:color w:val="000000"/>
          <w:u w:val="single"/>
          <w:shd w:val="clear" w:color="auto" w:fill="FFFFFF"/>
        </w:rPr>
      </w:pPr>
    </w:p>
    <w:p w:rsidRPr="00FC4128" w:rsidR="00412169" w:rsidP="00412169" w:rsidRDefault="00412169" w14:paraId="044DFBD9" w14:textId="77777777">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4.508.1.1 New construction.</w:t>
      </w:r>
    </w:p>
    <w:p w:rsidRPr="00FC4128" w:rsidR="00412169" w:rsidP="00412169" w:rsidRDefault="00412169" w14:paraId="3EC36FDA" w14:textId="77777777">
      <w:pPr>
        <w:rPr>
          <w:rStyle w:val="normaltextrun"/>
          <w:rFonts w:ascii="Calibri" w:hAnsi="Calibri" w:cs="Calibri"/>
          <w:b/>
          <w:bCs/>
          <w:color w:val="000000"/>
          <w:u w:val="single"/>
          <w:shd w:val="clear" w:color="auto" w:fill="FFFFFF"/>
        </w:rPr>
      </w:pPr>
    </w:p>
    <w:p w:rsidRPr="00FC4128" w:rsidR="00412169" w:rsidP="00412169" w:rsidRDefault="00412169" w14:paraId="6AA6C4A0"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1AD22470" w14:textId="77777777">
      <w:pPr>
        <w:rPr>
          <w:rStyle w:val="normaltextrun"/>
          <w:rFonts w:ascii="Calibri" w:hAnsi="Calibri" w:cs="Calibri"/>
          <w:b/>
          <w:bCs/>
          <w:u w:val="single"/>
        </w:rPr>
      </w:pPr>
    </w:p>
    <w:p w:rsidRPr="00FC4128" w:rsidR="00412169" w:rsidP="00412169" w:rsidRDefault="00412169" w14:paraId="0ACCAF43" w14:textId="77777777">
      <w:pPr>
        <w:rPr>
          <w:rFonts w:ascii="Segoe UI" w:hAnsi="Segoe UI" w:cs="Segoe UI"/>
        </w:rPr>
      </w:pPr>
      <w:r w:rsidRPr="00FC4128">
        <w:rPr>
          <w:rStyle w:val="normaltextrun"/>
          <w:rFonts w:ascii="Calibri" w:hAnsi="Calibri" w:cs="Calibri"/>
          <w:b/>
          <w:bCs/>
          <w:u w:val="single"/>
        </w:rPr>
        <w:t>Exceptions:</w:t>
      </w:r>
    </w:p>
    <w:p w:rsidRPr="00FC4128" w:rsidR="00412169" w:rsidRDefault="00412169" w14:paraId="696C5742" w14:textId="77777777">
      <w:pPr>
        <w:pStyle w:val="Default"/>
        <w:numPr>
          <w:ilvl w:val="0"/>
          <w:numId w:val="3"/>
        </w:numPr>
        <w:rPr>
          <w:color w:val="auto"/>
          <w:u w:val="single"/>
        </w:rPr>
      </w:pPr>
      <w:r w:rsidRPr="00FC4128">
        <w:rPr>
          <w:color w:val="auto"/>
          <w:u w:val="single"/>
        </w:rPr>
        <w:lastRenderedPageBreak/>
        <w:t xml:space="preserve">Outdoor cooking equipment, outdoor fireplaces, portable space heaters, generators, and pool/spa heaters for residential building projects are exempt from the requirements of 4.508.1.1, or </w:t>
      </w:r>
    </w:p>
    <w:p w:rsidRPr="00FC4128" w:rsidR="00412169" w:rsidRDefault="00412169" w14:paraId="7C5C6879" w14:textId="0426A7E8">
      <w:pPr>
        <w:pStyle w:val="Default"/>
        <w:numPr>
          <w:ilvl w:val="0"/>
          <w:numId w:val="3"/>
        </w:numPr>
        <w:rPr>
          <w:rStyle w:val="normaltextrun"/>
          <w:color w:val="auto"/>
          <w:u w:val="single"/>
        </w:rPr>
      </w:pPr>
      <w:r w:rsidRPr="00FC4128">
        <w:rPr>
          <w:color w:val="auto"/>
          <w:u w:val="single"/>
        </w:rPr>
        <w:t>Indoor cooking equipment for residential building projects is exempt from the requirements of 4.508.1.1. The applicant shall comply with Section 4.508.1.</w:t>
      </w:r>
      <w:r w:rsidRPr="00FC4128" w:rsidR="00E91EF3">
        <w:rPr>
          <w:color w:val="auto"/>
          <w:u w:val="single"/>
        </w:rPr>
        <w:t>3</w:t>
      </w:r>
      <w:r w:rsidRPr="00FC4128">
        <w:rPr>
          <w:color w:val="auto"/>
          <w:u w:val="single"/>
        </w:rPr>
        <w:t xml:space="preserve">. </w:t>
      </w:r>
    </w:p>
    <w:p w:rsidRPr="00FC4128" w:rsidR="00412169" w:rsidRDefault="00412169" w14:paraId="0020E093" w14:textId="69EA52D7">
      <w:pPr>
        <w:pStyle w:val="paragraph"/>
        <w:numPr>
          <w:ilvl w:val="0"/>
          <w:numId w:val="3"/>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Multifamily residential building projects that have approved entitlements before the effective date of this ordinance may install NOx emitting equipment for water heating systems serving multiple dwelling units. The applicant shall comply with Section 4.508.1.</w:t>
      </w:r>
      <w:r w:rsidRPr="00FC4128" w:rsidR="00E91EF3">
        <w:rPr>
          <w:rStyle w:val="normaltextrun"/>
          <w:rFonts w:ascii="Calibri" w:hAnsi="Calibri" w:cs="Calibri"/>
          <w:u w:val="single"/>
        </w:rPr>
        <w:t>3</w:t>
      </w:r>
      <w:r w:rsidRPr="00FC4128">
        <w:rPr>
          <w:rStyle w:val="normaltextrun"/>
          <w:rFonts w:ascii="Calibri" w:hAnsi="Calibri" w:cs="Calibri"/>
          <w:u w:val="single"/>
        </w:rPr>
        <w:t>.</w:t>
      </w:r>
    </w:p>
    <w:p w:rsidRPr="00FC4128" w:rsidR="00412169" w:rsidP="00412169" w:rsidRDefault="00412169" w14:paraId="08540933" w14:textId="77777777">
      <w:pPr>
        <w:pStyle w:val="paragraph"/>
        <w:spacing w:before="0" w:beforeAutospacing="0" w:after="0" w:afterAutospacing="0"/>
        <w:rPr>
          <w:rStyle w:val="normaltextrun"/>
          <w:highlight w:val="lightGray"/>
          <w:u w:val="single"/>
        </w:rPr>
      </w:pPr>
    </w:p>
    <w:p w:rsidRPr="00FC4128" w:rsidR="00412169" w:rsidP="00412169" w:rsidRDefault="00412169" w14:paraId="1AF199EF" w14:textId="1F02DE58">
      <w:pPr>
        <w:pStyle w:val="paragraph"/>
        <w:spacing w:before="0" w:beforeAutospacing="0" w:after="0" w:afterAutospacing="0"/>
        <w:ind w:left="360"/>
        <w:rPr>
          <w:rStyle w:val="normaltextrun"/>
          <w:u w:val="single"/>
        </w:rPr>
      </w:pPr>
      <w:r w:rsidRPr="003D4C47">
        <w:rPr>
          <w:rStyle w:val="normaltextrun"/>
          <w:rFonts w:ascii="Calibri" w:hAnsi="Calibri" w:cs="Calibri"/>
          <w:highlight w:val="lightGray"/>
          <w:u w:val="single"/>
        </w:rPr>
        <w:t>[</w:t>
      </w:r>
      <w:r w:rsidRPr="003D4C47" w:rsidR="00131631">
        <w:rPr>
          <w:rFonts w:asciiTheme="minorHAnsi" w:hAnsiTheme="minorHAnsi" w:cstheme="minorBidi"/>
          <w:highlight w:val="lightGray"/>
          <w:u w:val="single"/>
        </w:rPr>
        <w:t>Jurisdiction</w:t>
      </w:r>
      <w:r w:rsidRPr="003D4C47">
        <w:rPr>
          <w:rStyle w:val="normaltextrun"/>
          <w:rFonts w:ascii="Calibri" w:hAnsi="Calibri" w:cs="Calibri"/>
          <w:highlight w:val="lightGray"/>
          <w:u w:val="single"/>
        </w:rPr>
        <w:t xml:space="preserve">] </w:t>
      </w:r>
      <w:r w:rsidRPr="00FC4128">
        <w:rPr>
          <w:rStyle w:val="normaltextrun"/>
          <w:rFonts w:ascii="Calibri" w:hAnsi="Calibri" w:cs="Calibri"/>
          <w:u w:val="single"/>
        </w:rPr>
        <w:t>shall have the authority to approve alternative materials, design and methods of construction or equipment per California Building Code Section 104.</w:t>
      </w:r>
    </w:p>
    <w:p w:rsidRPr="00FC4128" w:rsidR="00412169" w:rsidP="00412169" w:rsidRDefault="00412169" w14:paraId="41AB34B7" w14:textId="77777777">
      <w:pPr>
        <w:rPr>
          <w:rStyle w:val="normaltextrun"/>
          <w:rFonts w:cs="Calibri"/>
          <w:u w:val="single"/>
        </w:rPr>
      </w:pPr>
    </w:p>
    <w:p w:rsidRPr="00FC4128" w:rsidR="00412169" w:rsidP="00412169" w:rsidRDefault="00412169" w14:paraId="60122556" w14:textId="77777777">
      <w:pPr>
        <w:pStyle w:val="paragraph"/>
        <w:spacing w:before="0" w:beforeAutospacing="0" w:after="0" w:afterAutospacing="0"/>
        <w:ind w:left="720" w:hanging="360"/>
        <w:textAlignment w:val="baseline"/>
        <w:rPr>
          <w:rStyle w:val="normaltextrun"/>
          <w:rFonts w:ascii="Calibri" w:hAnsi="Calibri" w:cs="Calibri"/>
          <w:u w:val="single"/>
        </w:rPr>
      </w:pPr>
    </w:p>
    <w:p w:rsidRPr="00FC4128" w:rsidR="00412169" w:rsidP="00412169" w:rsidRDefault="00412169" w14:paraId="332F361A" w14:textId="58CF7D99">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 xml:space="preserve">4.508.1.2 Substantially </w:t>
      </w:r>
      <w:r w:rsidRPr="00FC4128" w:rsidR="005930CF">
        <w:rPr>
          <w:rStyle w:val="normaltextrun"/>
          <w:rFonts w:ascii="Calibri" w:hAnsi="Calibri" w:cs="Calibri"/>
          <w:b/>
          <w:bCs/>
          <w:color w:val="000000"/>
          <w:u w:val="single"/>
          <w:shd w:val="clear" w:color="auto" w:fill="FFFFFF"/>
        </w:rPr>
        <w:t>a</w:t>
      </w:r>
      <w:r w:rsidRPr="00FC4128">
        <w:rPr>
          <w:rStyle w:val="normaltextrun"/>
          <w:rFonts w:ascii="Calibri" w:hAnsi="Calibri" w:cs="Calibri"/>
          <w:b/>
          <w:bCs/>
          <w:color w:val="000000"/>
          <w:u w:val="single"/>
          <w:shd w:val="clear" w:color="auto" w:fill="FFFFFF"/>
        </w:rPr>
        <w:t xml:space="preserve">ltered </w:t>
      </w:r>
      <w:r w:rsidRPr="00FC4128" w:rsidR="005930CF">
        <w:rPr>
          <w:rStyle w:val="normaltextrun"/>
          <w:rFonts w:ascii="Calibri" w:hAnsi="Calibri" w:cs="Calibri"/>
          <w:b/>
          <w:bCs/>
          <w:color w:val="000000"/>
          <w:u w:val="single"/>
          <w:shd w:val="clear" w:color="auto" w:fill="FFFFFF"/>
        </w:rPr>
        <w:t>s</w:t>
      </w:r>
      <w:r w:rsidRPr="00FC4128">
        <w:rPr>
          <w:rStyle w:val="normaltextrun"/>
          <w:rFonts w:ascii="Calibri" w:hAnsi="Calibri" w:cs="Calibri"/>
          <w:b/>
          <w:bCs/>
          <w:color w:val="000000"/>
          <w:u w:val="single"/>
          <w:shd w:val="clear" w:color="auto" w:fill="FFFFFF"/>
        </w:rPr>
        <w:t>tructures.</w:t>
      </w:r>
    </w:p>
    <w:p w:rsidRPr="00FC4128" w:rsidR="00412169" w:rsidP="00412169" w:rsidRDefault="00412169" w14:paraId="353B3F77" w14:textId="77777777">
      <w:pPr>
        <w:rPr>
          <w:rStyle w:val="normaltextrun"/>
          <w:rFonts w:ascii="Calibri" w:hAnsi="Calibri" w:cs="Calibri"/>
          <w:b/>
          <w:bCs/>
          <w:color w:val="000000"/>
          <w:u w:val="single"/>
          <w:shd w:val="clear" w:color="auto" w:fill="FFFFFF"/>
        </w:rPr>
      </w:pPr>
    </w:p>
    <w:p w:rsidRPr="00FC4128" w:rsidR="00412169" w:rsidP="00412169" w:rsidRDefault="00412169" w14:paraId="3CFE7EAA"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0A4E0FB6" w14:textId="77777777">
      <w:pPr>
        <w:pStyle w:val="Default"/>
        <w:rPr>
          <w:b/>
          <w:bCs/>
          <w:color w:val="auto"/>
        </w:rPr>
      </w:pPr>
    </w:p>
    <w:p w:rsidRPr="00FC4128" w:rsidR="00412169" w:rsidRDefault="00412169" w14:paraId="6FBD6553" w14:textId="77777777">
      <w:pPr>
        <w:pStyle w:val="Default"/>
        <w:numPr>
          <w:ilvl w:val="0"/>
          <w:numId w:val="5"/>
        </w:numPr>
        <w:rPr>
          <w:color w:val="auto"/>
          <w:u w:val="single"/>
        </w:rPr>
      </w:pPr>
      <w:r w:rsidRPr="00FC4128">
        <w:rPr>
          <w:color w:val="auto"/>
          <w:u w:val="single"/>
        </w:rPr>
        <w:t xml:space="preserve">Outdoor cooking equipment, outdoor fireplaces, portable space heaters, generators, and pool/spa heaters for residential building projects are exempt from the requirements of 4.508.1.2, or </w:t>
      </w:r>
    </w:p>
    <w:p w:rsidRPr="00FC4128" w:rsidR="00412169" w:rsidRDefault="00412169" w14:paraId="4FE5016F" w14:textId="5D126F77">
      <w:pPr>
        <w:pStyle w:val="Default"/>
        <w:numPr>
          <w:ilvl w:val="0"/>
          <w:numId w:val="5"/>
        </w:numPr>
        <w:rPr>
          <w:color w:val="auto"/>
          <w:u w:val="single"/>
        </w:rPr>
      </w:pPr>
      <w:r w:rsidRPr="00FC4128">
        <w:rPr>
          <w:color w:val="auto"/>
          <w:u w:val="single"/>
        </w:rPr>
        <w:t>Indoor cooking equipment for residential building projects is exempt from the requirements of 4.508.1.2. The applicant shall comply with Section 4.508.1.</w:t>
      </w:r>
      <w:r w:rsidRPr="00FC4128" w:rsidR="00E91EF3">
        <w:rPr>
          <w:color w:val="auto"/>
          <w:u w:val="single"/>
        </w:rPr>
        <w:t>3</w:t>
      </w:r>
      <w:r w:rsidRPr="00FC4128">
        <w:rPr>
          <w:color w:val="auto"/>
          <w:u w:val="single"/>
        </w:rPr>
        <w:t>, or</w:t>
      </w:r>
    </w:p>
    <w:p w:rsidRPr="00FC4128" w:rsidR="00412169" w:rsidRDefault="00412169" w14:paraId="1F74E8E7" w14:textId="0831F339">
      <w:pPr>
        <w:pStyle w:val="Default"/>
        <w:numPr>
          <w:ilvl w:val="0"/>
          <w:numId w:val="5"/>
        </w:numPr>
        <w:rPr>
          <w:color w:val="auto"/>
          <w:u w:val="single"/>
        </w:rPr>
      </w:pPr>
      <w:r w:rsidRPr="00FC4128">
        <w:rPr>
          <w:color w:val="auto"/>
          <w:u w:val="single"/>
        </w:rPr>
        <w:t xml:space="preserve">Substantially </w:t>
      </w:r>
      <w:r w:rsidRPr="00FC4128" w:rsidR="009726D7">
        <w:rPr>
          <w:color w:val="auto"/>
          <w:u w:val="single"/>
        </w:rPr>
        <w:t>a</w:t>
      </w:r>
      <w:r w:rsidRPr="00FC4128">
        <w:rPr>
          <w:color w:val="auto"/>
          <w:u w:val="single"/>
        </w:rPr>
        <w:t xml:space="preserve">ltered </w:t>
      </w:r>
      <w:r w:rsidRPr="00FC4128" w:rsidR="009726D7">
        <w:rPr>
          <w:color w:val="auto"/>
          <w:u w:val="single"/>
        </w:rPr>
        <w:t>s</w:t>
      </w:r>
      <w:r w:rsidRPr="00FC4128">
        <w:rPr>
          <w:color w:val="auto"/>
          <w:u w:val="single"/>
        </w:rPr>
        <w:t xml:space="preserve">tructures are exempt from the requirements of 4.508.1.2 if the electrical utility service is underground and the installation of </w:t>
      </w:r>
      <w:r w:rsidRPr="00FC4128" w:rsidR="00A26C4B">
        <w:rPr>
          <w:color w:val="auto"/>
          <w:u w:val="single"/>
        </w:rPr>
        <w:t>z</w:t>
      </w:r>
      <w:r w:rsidRPr="00FC4128">
        <w:rPr>
          <w:color w:val="auto"/>
          <w:u w:val="single"/>
        </w:rPr>
        <w:t xml:space="preserve">ero-NOx </w:t>
      </w:r>
      <w:r w:rsidRPr="00FC4128" w:rsidR="00A26C4B">
        <w:rPr>
          <w:color w:val="auto"/>
          <w:u w:val="single"/>
        </w:rPr>
        <w:t>e</w:t>
      </w:r>
      <w:r w:rsidRPr="00FC4128">
        <w:rPr>
          <w:color w:val="auto"/>
          <w:u w:val="single"/>
        </w:rPr>
        <w:t xml:space="preserve">mitting </w:t>
      </w:r>
      <w:r w:rsidRPr="00FC4128" w:rsidR="00A26C4B">
        <w:rPr>
          <w:color w:val="auto"/>
          <w:u w:val="single"/>
        </w:rPr>
        <w:t>e</w:t>
      </w:r>
      <w:r w:rsidRPr="00FC4128">
        <w:rPr>
          <w:color w:val="auto"/>
          <w:u w:val="single"/>
        </w:rPr>
        <w:t>quipment is technically infeasible as determined by the Building Official per 4.508.1.</w:t>
      </w:r>
      <w:r w:rsidRPr="00FC4128" w:rsidR="00E91EF3">
        <w:rPr>
          <w:color w:val="auto"/>
          <w:u w:val="single"/>
        </w:rPr>
        <w:t>4</w:t>
      </w:r>
      <w:r w:rsidRPr="00FC4128">
        <w:rPr>
          <w:color w:val="auto"/>
          <w:u w:val="single"/>
        </w:rPr>
        <w:t xml:space="preserve">, or </w:t>
      </w:r>
    </w:p>
    <w:p w:rsidRPr="00FC4128" w:rsidR="00412169" w:rsidRDefault="00412169" w14:paraId="6C4A2B79" w14:textId="31842770">
      <w:pPr>
        <w:pStyle w:val="Default"/>
        <w:numPr>
          <w:ilvl w:val="0"/>
          <w:numId w:val="5"/>
        </w:numPr>
        <w:rPr>
          <w:color w:val="auto"/>
          <w:u w:val="single"/>
        </w:rPr>
      </w:pPr>
      <w:r w:rsidRPr="00FC4128">
        <w:rPr>
          <w:color w:val="auto"/>
          <w:u w:val="single"/>
        </w:rPr>
        <w:t xml:space="preserve">Substantially </w:t>
      </w:r>
      <w:r w:rsidRPr="00FC4128" w:rsidR="009726D7">
        <w:rPr>
          <w:color w:val="auto"/>
          <w:u w:val="single"/>
        </w:rPr>
        <w:t>a</w:t>
      </w:r>
      <w:r w:rsidRPr="00FC4128">
        <w:rPr>
          <w:color w:val="auto"/>
          <w:u w:val="single"/>
        </w:rPr>
        <w:t xml:space="preserve">ltered </w:t>
      </w:r>
      <w:r w:rsidRPr="00FC4128" w:rsidR="009726D7">
        <w:rPr>
          <w:color w:val="auto"/>
          <w:u w:val="single"/>
        </w:rPr>
        <w:t>s</w:t>
      </w:r>
      <w:r w:rsidRPr="00FC4128">
        <w:rPr>
          <w:color w:val="auto"/>
          <w:u w:val="single"/>
        </w:rPr>
        <w:t xml:space="preserve">tructures are exempt from the requirements of 4.508.1.2 if the primary electrical utility customer of record at the residence is enrolled in the PG&amp;E California Alternate Rates for Energy Program (CARE) and Family Electric Rate Assistance Program (FERA) Programs. </w:t>
      </w:r>
    </w:p>
    <w:p w:rsidRPr="00FC4128" w:rsidR="00E91EF3" w:rsidP="00E91EF3" w:rsidRDefault="00E91EF3" w14:paraId="23E0D132" w14:textId="77777777">
      <w:pPr>
        <w:pStyle w:val="Default"/>
        <w:ind w:left="1080"/>
        <w:rPr>
          <w:rStyle w:val="eop"/>
          <w:color w:val="auto"/>
          <w:u w:val="single"/>
        </w:rPr>
      </w:pPr>
    </w:p>
    <w:p w:rsidRPr="00FC4128" w:rsidR="00412169" w:rsidP="00412169" w:rsidRDefault="00412169" w14:paraId="7472BB3D" w14:textId="77777777">
      <w:pPr>
        <w:pStyle w:val="Default"/>
        <w:rPr>
          <w:b/>
          <w:bCs/>
          <w:color w:val="auto"/>
        </w:rPr>
      </w:pPr>
    </w:p>
    <w:p w:rsidRPr="00FC4128" w:rsidR="00412169" w:rsidP="00412169" w:rsidRDefault="00412169" w14:paraId="7085FDC8" w14:textId="07B415C2">
      <w:pPr>
        <w:pStyle w:val="paragraph"/>
        <w:spacing w:before="0" w:beforeAutospacing="0" w:after="0" w:afterAutospacing="0"/>
        <w:textAlignment w:val="baseline"/>
        <w:rPr>
          <w:rFonts w:ascii="Segoe UI" w:hAnsi="Segoe UI" w:cs="Segoe UI"/>
        </w:rPr>
      </w:pPr>
      <w:r w:rsidRPr="00FC4128">
        <w:rPr>
          <w:rFonts w:ascii="Calibri" w:hAnsi="Calibri" w:cs="Calibri"/>
          <w:b/>
          <w:bCs/>
          <w:u w:val="single"/>
        </w:rPr>
        <w:t>4.508.1.</w:t>
      </w:r>
      <w:r w:rsidRPr="00FC4128" w:rsidR="00E91EF3">
        <w:rPr>
          <w:rFonts w:ascii="Calibri" w:hAnsi="Calibri" w:cs="Calibri"/>
          <w:b/>
          <w:bCs/>
          <w:u w:val="single"/>
        </w:rPr>
        <w:t>3</w:t>
      </w:r>
      <w:r w:rsidRPr="00FC4128">
        <w:rPr>
          <w:rFonts w:ascii="Calibri" w:hAnsi="Calibri" w:cs="Calibri"/>
          <w:b/>
          <w:bCs/>
          <w:u w:val="single"/>
        </w:rPr>
        <w:t xml:space="preserve"> Zero-NOx </w:t>
      </w:r>
      <w:r w:rsidRPr="00FC4128" w:rsidR="005930CF">
        <w:rPr>
          <w:rFonts w:ascii="Calibri" w:hAnsi="Calibri" w:cs="Calibri"/>
          <w:b/>
          <w:bCs/>
          <w:u w:val="single"/>
        </w:rPr>
        <w:t>r</w:t>
      </w:r>
      <w:r w:rsidRPr="00FC4128">
        <w:rPr>
          <w:rFonts w:ascii="Calibri" w:hAnsi="Calibri" w:cs="Calibri"/>
          <w:b/>
          <w:bCs/>
          <w:u w:val="single"/>
        </w:rPr>
        <w:t xml:space="preserve">eadiness </w:t>
      </w:r>
      <w:r w:rsidRPr="00FC4128" w:rsidR="005930CF">
        <w:rPr>
          <w:rFonts w:ascii="Calibri" w:hAnsi="Calibri" w:cs="Calibri"/>
          <w:b/>
          <w:bCs/>
          <w:u w:val="single"/>
        </w:rPr>
        <w:t>r</w:t>
      </w:r>
      <w:r w:rsidRPr="00FC4128">
        <w:rPr>
          <w:rFonts w:ascii="Calibri" w:hAnsi="Calibri" w:cs="Calibri"/>
          <w:b/>
          <w:bCs/>
          <w:u w:val="single"/>
        </w:rPr>
        <w:t xml:space="preserve">equirements for </w:t>
      </w:r>
      <w:r w:rsidRPr="00FC4128" w:rsidR="00D660E4">
        <w:rPr>
          <w:rFonts w:ascii="Calibri" w:hAnsi="Calibri" w:cs="Calibri"/>
          <w:b/>
          <w:bCs/>
          <w:u w:val="single"/>
        </w:rPr>
        <w:t>indoor cooking equipment</w:t>
      </w:r>
      <w:r w:rsidRPr="00FC4128">
        <w:rPr>
          <w:rFonts w:ascii="Calibri" w:hAnsi="Calibri" w:cs="Calibri"/>
          <w:b/>
          <w:bCs/>
          <w:u w:val="single"/>
        </w:rPr>
        <w:t>.</w:t>
      </w:r>
      <w:r w:rsidRPr="00FC4128">
        <w:rPr>
          <w:rFonts w:ascii="Calibri" w:hAnsi="Calibri" w:cs="Calibri"/>
          <w:b/>
          <w:bCs/>
          <w:i/>
          <w:iCs/>
          <w:u w:val="single"/>
        </w:rPr>
        <w:t> </w:t>
      </w:r>
      <w:r w:rsidRPr="00FC4128">
        <w:rPr>
          <w:rFonts w:ascii="Calibri" w:hAnsi="Calibri" w:cs="Calibri"/>
        </w:rPr>
        <w:t> </w:t>
      </w:r>
    </w:p>
    <w:p w:rsidRPr="00FC4128" w:rsidR="00412169" w:rsidP="00412169" w:rsidRDefault="1C0710A7" w14:paraId="5F65CDC7" w14:textId="47469C17">
      <w:pPr>
        <w:widowControl/>
        <w:kinsoku/>
        <w:textAlignment w:val="baseline"/>
        <w:rPr>
          <w:rFonts w:ascii="Calibri" w:hAnsi="Calibri" w:eastAsia="Times New Roman" w:cs="Calibri"/>
          <w:u w:val="single"/>
        </w:rPr>
      </w:pPr>
      <w:r w:rsidRPr="00FC4128">
        <w:rPr>
          <w:rFonts w:ascii="Calibri" w:hAnsi="Calibri" w:eastAsia="Times New Roman" w:cs="Calibri"/>
          <w:u w:val="single"/>
        </w:rPr>
        <w:t>Where NOx emitting indoor cooking equipment is allowed as an exception under 4.508.1.1 or 4.508.1.2, the construction drawings shall provide for the infrastructure and physical space needed to accommodate the future installation of a zero-NOx emitting cooking appliance in the following ways, as certified by a registered design professional or licensed electrical contractor:</w:t>
      </w:r>
    </w:p>
    <w:p w:rsidRPr="00FC4128" w:rsidR="00D660E4" w:rsidP="00D660E4" w:rsidRDefault="00D660E4" w14:paraId="4D0B66E9" w14:textId="77777777">
      <w:pPr>
        <w:rPr>
          <w:rStyle w:val="normaltextrun"/>
          <w:rFonts w:ascii="Calibri" w:hAnsi="Calibri" w:cs="Calibri"/>
          <w:u w:val="single"/>
        </w:rPr>
      </w:pPr>
    </w:p>
    <w:p w:rsidRPr="00FC4128" w:rsidR="00D660E4" w:rsidRDefault="00D660E4" w14:paraId="12727BFD" w14:textId="75B367BC">
      <w:pPr>
        <w:pStyle w:val="paragraph"/>
        <w:numPr>
          <w:ilvl w:val="0"/>
          <w:numId w:val="4"/>
        </w:numPr>
        <w:spacing w:before="0" w:beforeAutospacing="0" w:after="0" w:afterAutospacing="0"/>
        <w:ind w:left="720"/>
        <w:textAlignment w:val="baseline"/>
        <w:rPr>
          <w:rStyle w:val="normaltextrun"/>
          <w:rFonts w:ascii="Calibri" w:hAnsi="Calibri" w:cs="Calibri"/>
          <w:u w:val="single"/>
        </w:rPr>
      </w:pPr>
      <w:r w:rsidRPr="00FC4128">
        <w:rPr>
          <w:rStyle w:val="normaltextrun"/>
          <w:rFonts w:ascii="Calibri" w:hAnsi="Calibri" w:cs="Calibri"/>
          <w:u w:val="single"/>
        </w:rPr>
        <w:t>A dedicated 240-volt branch circuit wiring shall be installed within 3 feet from the cooktop and accessible to the cooktop with no obstructions. The branch circuit conductors shall be rated 50 amps minimum. The blank cover shall be identified as “240V ready”. All electrical components shall be installed in accordance with the California Electrical Code.</w:t>
      </w:r>
    </w:p>
    <w:p w:rsidRPr="00FC4128" w:rsidR="00D660E4" w:rsidP="00D660E4" w:rsidRDefault="00D660E4" w14:paraId="2CAEE9B0" w14:textId="77777777">
      <w:pPr>
        <w:pStyle w:val="ListParagraph"/>
        <w:rPr>
          <w:rStyle w:val="normaltextrun"/>
          <w:rFonts w:cs="Calibri"/>
          <w:sz w:val="24"/>
          <w:szCs w:val="24"/>
          <w:u w:val="single"/>
        </w:rPr>
      </w:pPr>
    </w:p>
    <w:p w:rsidRPr="00FC4128" w:rsidR="00D660E4" w:rsidRDefault="00D660E4" w14:paraId="48E8F940" w14:textId="7CEF142D">
      <w:pPr>
        <w:pStyle w:val="paragraph"/>
        <w:numPr>
          <w:ilvl w:val="0"/>
          <w:numId w:val="4"/>
        </w:numPr>
        <w:spacing w:before="0" w:beforeAutospacing="0" w:after="0" w:afterAutospacing="0"/>
        <w:ind w:left="720"/>
        <w:textAlignment w:val="baseline"/>
        <w:rPr>
          <w:rStyle w:val="normaltextrun"/>
          <w:rFonts w:ascii="Calibri" w:hAnsi="Calibri" w:cs="Calibri"/>
          <w:u w:val="single"/>
        </w:rPr>
      </w:pPr>
      <w:r w:rsidRPr="00FC4128">
        <w:rPr>
          <w:rStyle w:val="normaltextrun"/>
          <w:rFonts w:ascii="Calibri" w:hAnsi="Calibri" w:cs="Calibri"/>
          <w:u w:val="single"/>
        </w:rPr>
        <w:t>The main electrical service panel shall have a reserved space to allow for installation of a double pole circuit breaker for a future electric cooktop installation. The reserved space shall be permanently marked as “For Future 240V use.”</w:t>
      </w:r>
    </w:p>
    <w:p w:rsidRPr="00FC4128" w:rsidR="00412169" w:rsidP="00412169" w:rsidRDefault="00412169" w14:paraId="5DEA4ED7" w14:textId="77777777">
      <w:pPr>
        <w:pStyle w:val="paragraph"/>
        <w:spacing w:before="0" w:beforeAutospacing="0" w:after="0" w:afterAutospacing="0"/>
        <w:ind w:left="720" w:hanging="360"/>
        <w:textAlignment w:val="baseline"/>
        <w:rPr>
          <w:rStyle w:val="normaltextrun"/>
          <w:rFonts w:ascii="Calibri" w:hAnsi="Calibri" w:cs="Calibri"/>
          <w:u w:val="single"/>
        </w:rPr>
      </w:pPr>
    </w:p>
    <w:p w:rsidRPr="00FC4128" w:rsidR="00E91EF3" w:rsidP="00E91EF3" w:rsidRDefault="00E91EF3" w14:paraId="55EF91FA" w14:textId="7760E067">
      <w:pPr>
        <w:pStyle w:val="Default"/>
        <w:rPr>
          <w:color w:val="auto"/>
          <w:u w:val="single"/>
        </w:rPr>
      </w:pPr>
      <w:r w:rsidRPr="00FC4128">
        <w:rPr>
          <w:b/>
          <w:bCs/>
          <w:color w:val="auto"/>
          <w:u w:val="single"/>
        </w:rPr>
        <w:t xml:space="preserve">4.508.1.4 Technical Infeasibilities. </w:t>
      </w:r>
      <w:r w:rsidRPr="00FC4128">
        <w:rPr>
          <w:color w:val="auto"/>
          <w:u w:val="single"/>
        </w:rPr>
        <w:t xml:space="preserve">For technical infeasibilities, the property owner shall submit a request to use alternate means and methods. The property owner shall provide any additional information required by the Building Official to make a determination on the request per the 2022 CALGreen, Section 101.8. The determination of the Building Official may be appealed to the City Council, as provided in </w:t>
      </w:r>
      <w:commentRangeStart w:id="1"/>
      <w:r w:rsidRPr="00FC4128">
        <w:rPr>
          <w:color w:val="auto"/>
          <w:u w:val="single"/>
        </w:rPr>
        <w:t>Section 1-4.01.</w:t>
      </w:r>
      <w:commentRangeEnd w:id="1"/>
      <w:r w:rsidRPr="00FC4128">
        <w:rPr>
          <w:rStyle w:val="CommentReference"/>
          <w:color w:val="auto"/>
          <w:sz w:val="24"/>
        </w:rPr>
        <w:commentReference w:id="1"/>
      </w:r>
    </w:p>
    <w:p w:rsidRPr="00FC4128" w:rsidR="00E91EF3" w:rsidP="00131631" w:rsidRDefault="00E91EF3" w14:paraId="62F4BE67" w14:textId="77777777">
      <w:pPr>
        <w:pStyle w:val="paragraph"/>
        <w:spacing w:before="0" w:beforeAutospacing="0" w:after="0" w:afterAutospacing="0"/>
        <w:textAlignment w:val="baseline"/>
        <w:rPr>
          <w:rStyle w:val="normaltextrun"/>
          <w:rFonts w:ascii="Calibri" w:hAnsi="Calibri" w:cs="Calibri"/>
          <w:u w:val="single"/>
        </w:rPr>
      </w:pPr>
    </w:p>
    <w:p w:rsidRPr="00FC4128" w:rsidR="00412169" w:rsidP="00412169" w:rsidRDefault="00412169" w14:paraId="00DF6D45" w14:textId="77777777">
      <w:pPr>
        <w:rPr>
          <w:rStyle w:val="eop"/>
          <w:rFonts w:ascii="Calibri" w:hAnsi="Calibri" w:cs="Calibri"/>
          <w:color w:val="000000" w:themeColor="text1"/>
        </w:rPr>
      </w:pPr>
      <w:r w:rsidRPr="00FC4128">
        <w:rPr>
          <w:rStyle w:val="normaltextrun"/>
          <w:rFonts w:ascii="Calibri" w:hAnsi="Calibri" w:cs="Calibri"/>
          <w:b/>
          <w:bCs/>
          <w:color w:val="000000" w:themeColor="text1"/>
        </w:rPr>
        <w:t>……..</w:t>
      </w:r>
      <w:r w:rsidRPr="00FC4128">
        <w:rPr>
          <w:rStyle w:val="eop"/>
          <w:rFonts w:ascii="Calibri" w:hAnsi="Calibri" w:cs="Calibri"/>
          <w:color w:val="000000" w:themeColor="text1"/>
        </w:rPr>
        <w:t> </w:t>
      </w:r>
    </w:p>
    <w:p w:rsidRPr="00FC4128" w:rsidR="00412169" w:rsidP="00412169" w:rsidRDefault="00412169" w14:paraId="166F9768" w14:textId="77777777">
      <w:pPr>
        <w:pStyle w:val="paragraph"/>
        <w:spacing w:before="0" w:beforeAutospacing="0" w:after="0" w:afterAutospacing="0"/>
        <w:textAlignment w:val="baseline"/>
        <w:rPr>
          <w:rStyle w:val="normaltextrun"/>
          <w:rFonts w:ascii="Calibri" w:hAnsi="Calibri" w:cs="Calibri"/>
          <w:b/>
          <w:bCs/>
          <w:u w:val="single"/>
        </w:rPr>
      </w:pPr>
    </w:p>
    <w:p w:rsidRPr="00FC4128" w:rsidR="00412169" w:rsidP="00FC4128" w:rsidRDefault="00412169" w14:paraId="5210321E" w14:textId="77777777">
      <w:pPr>
        <w:pStyle w:val="Heading2"/>
        <w:rPr>
          <w:rFonts w:ascii="Segoe UI" w:hAnsi="Segoe UI" w:cs="Segoe UI"/>
          <w:color w:val="1F3763"/>
        </w:rPr>
      </w:pPr>
      <w:r w:rsidRPr="00FC4128">
        <w:rPr>
          <w:rStyle w:val="normaltextrun"/>
          <w:rFonts w:ascii="Calibri" w:hAnsi="Calibri" w:cs="Calibri"/>
          <w:szCs w:val="24"/>
        </w:rPr>
        <w:t>CHAPTER 5 – NONRESIDENTIAL MANDATORY MEASURES</w:t>
      </w:r>
      <w:r w:rsidRPr="00FC4128">
        <w:rPr>
          <w:rStyle w:val="eop"/>
          <w:rFonts w:ascii="Calibri" w:hAnsi="Calibri" w:cs="Calibri"/>
          <w:szCs w:val="24"/>
        </w:rPr>
        <w:t> </w:t>
      </w:r>
    </w:p>
    <w:p w:rsidRPr="00FC4128" w:rsidR="00412169" w:rsidP="00412169" w:rsidRDefault="00412169" w14:paraId="525F9D39" w14:textId="77777777">
      <w:pPr>
        <w:pStyle w:val="paragraph"/>
        <w:spacing w:before="0" w:beforeAutospacing="0" w:after="0" w:afterAutospacing="0"/>
        <w:textAlignment w:val="baseline"/>
        <w:rPr>
          <w:rFonts w:ascii="Segoe UI" w:hAnsi="Segoe UI" w:cs="Segoe UI"/>
        </w:rPr>
      </w:pPr>
      <w:r w:rsidRPr="00FC4128">
        <w:rPr>
          <w:rStyle w:val="eop"/>
          <w:rFonts w:ascii="Calibri" w:hAnsi="Calibri" w:cs="Calibri" w:eastAsiaTheme="majorEastAsia"/>
        </w:rPr>
        <w:t> </w:t>
      </w:r>
    </w:p>
    <w:p w:rsidRPr="00FC4128" w:rsidR="00412169" w:rsidP="00412169" w:rsidRDefault="00412169" w14:paraId="391F80A7" w14:textId="77777777">
      <w:pPr>
        <w:pStyle w:val="paragraph"/>
        <w:spacing w:before="0" w:beforeAutospacing="0" w:after="0" w:afterAutospacing="0"/>
        <w:textAlignment w:val="baseline"/>
        <w:rPr>
          <w:rFonts w:ascii="Segoe UI" w:hAnsi="Segoe UI" w:cs="Segoe UI"/>
        </w:rPr>
      </w:pPr>
      <w:r w:rsidRPr="00FC4128">
        <w:rPr>
          <w:rStyle w:val="normaltextrun"/>
          <w:rFonts w:ascii="Calibri" w:hAnsi="Calibri" w:cs="Calibri"/>
          <w:b/>
          <w:bCs/>
          <w:i/>
          <w:iCs/>
        </w:rPr>
        <w:t>Division 5.5 Environmental Planning</w:t>
      </w:r>
      <w:r w:rsidRPr="00FC4128">
        <w:rPr>
          <w:rStyle w:val="eop"/>
          <w:rFonts w:ascii="Calibri" w:hAnsi="Calibri" w:cs="Calibri" w:eastAsiaTheme="majorEastAsia"/>
        </w:rPr>
        <w:t> </w:t>
      </w:r>
    </w:p>
    <w:p w:rsidRPr="00FC4128" w:rsidR="00412169" w:rsidP="00412169" w:rsidRDefault="00412169" w14:paraId="0897648F" w14:textId="77777777">
      <w:pPr>
        <w:pStyle w:val="paragraph"/>
        <w:spacing w:before="0" w:beforeAutospacing="0" w:after="0" w:afterAutospacing="0"/>
        <w:rPr>
          <w:rStyle w:val="eop"/>
          <w:rFonts w:eastAsiaTheme="majorEastAsia"/>
        </w:rPr>
      </w:pPr>
    </w:p>
    <w:p w:rsidRPr="00FC4128" w:rsidR="00412169" w:rsidP="00412169" w:rsidRDefault="00412169" w14:paraId="32F965EA" w14:textId="77777777">
      <w:pPr>
        <w:rPr>
          <w:rStyle w:val="eop"/>
          <w:rFonts w:ascii="Calibri" w:hAnsi="Calibri" w:cs="Calibri"/>
          <w:color w:val="000000" w:themeColor="text1"/>
        </w:rPr>
      </w:pPr>
      <w:r w:rsidRPr="00FC4128">
        <w:rPr>
          <w:rStyle w:val="normaltextrun"/>
          <w:rFonts w:ascii="Calibri" w:hAnsi="Calibri" w:cs="Calibri"/>
          <w:b/>
          <w:bCs/>
          <w:color w:val="000000" w:themeColor="text1"/>
        </w:rPr>
        <w:t>……..</w:t>
      </w:r>
      <w:r w:rsidRPr="00FC4128">
        <w:rPr>
          <w:rStyle w:val="eop"/>
          <w:rFonts w:ascii="Calibri" w:hAnsi="Calibri" w:cs="Calibri"/>
          <w:color w:val="000000" w:themeColor="text1"/>
        </w:rPr>
        <w:t> </w:t>
      </w:r>
    </w:p>
    <w:p w:rsidRPr="00FC4128" w:rsidR="00412169" w:rsidP="00412169" w:rsidRDefault="00412169" w14:paraId="24C7A30B" w14:textId="77777777">
      <w:pPr>
        <w:pStyle w:val="paragraph"/>
        <w:spacing w:before="0" w:beforeAutospacing="0" w:after="0" w:afterAutospacing="0"/>
        <w:jc w:val="center"/>
        <w:textAlignment w:val="baseline"/>
        <w:rPr>
          <w:rFonts w:ascii="Segoe UI" w:hAnsi="Segoe UI" w:cs="Segoe UI"/>
        </w:rPr>
      </w:pPr>
      <w:r w:rsidRPr="00FC4128">
        <w:rPr>
          <w:rStyle w:val="eop"/>
          <w:rFonts w:ascii="Calibri" w:hAnsi="Calibri" w:cs="Calibri" w:eastAsiaTheme="majorEastAsia"/>
        </w:rPr>
        <w:t> </w:t>
      </w:r>
    </w:p>
    <w:p w:rsidRPr="00FC4128" w:rsidR="00412169" w:rsidP="00412169" w:rsidRDefault="00412169" w14:paraId="19C69917" w14:textId="77777777">
      <w:pPr>
        <w:pStyle w:val="paragraph"/>
        <w:spacing w:before="0" w:beforeAutospacing="0" w:after="0" w:afterAutospacing="0"/>
        <w:textAlignment w:val="baseline"/>
        <w:rPr>
          <w:rStyle w:val="normaltextrun"/>
          <w:rFonts w:ascii="Calibri" w:hAnsi="Calibri" w:cs="Calibri"/>
          <w:b/>
          <w:bCs/>
        </w:rPr>
      </w:pPr>
      <w:r w:rsidRPr="00FC4128">
        <w:rPr>
          <w:rStyle w:val="normaltextrun"/>
          <w:rFonts w:ascii="Calibri" w:hAnsi="Calibri" w:cs="Calibri"/>
          <w:b/>
          <w:bCs/>
        </w:rPr>
        <w:t>SECTION 5.508</w:t>
      </w:r>
    </w:p>
    <w:p w:rsidRPr="00FC4128" w:rsidR="00412169" w:rsidP="00412169" w:rsidRDefault="00412169" w14:paraId="72EBD4C1" w14:textId="77777777">
      <w:pPr>
        <w:rPr>
          <w:rFonts w:asciiTheme="minorHAnsi" w:hAnsiTheme="minorHAnsi" w:cstheme="minorBidi"/>
          <w:b/>
          <w:bCs/>
        </w:rPr>
      </w:pPr>
      <w:r w:rsidRPr="00FC4128">
        <w:rPr>
          <w:rFonts w:asciiTheme="minorHAnsi" w:hAnsiTheme="minorHAnsi" w:cstheme="minorBidi"/>
          <w:b/>
          <w:bCs/>
        </w:rPr>
        <w:t>OUTDOOR AIR QUALITY</w:t>
      </w:r>
    </w:p>
    <w:p w:rsidRPr="00FC4128" w:rsidR="00E91EF3" w:rsidP="00412169" w:rsidRDefault="00E91EF3" w14:paraId="0DEE0DD0" w14:textId="77777777">
      <w:pPr>
        <w:rPr>
          <w:rFonts w:asciiTheme="minorHAnsi" w:hAnsiTheme="minorHAnsi" w:cstheme="minorBidi"/>
          <w:b/>
          <w:bCs/>
        </w:rPr>
      </w:pPr>
    </w:p>
    <w:p w:rsidRPr="00FC4128" w:rsidR="00E91EF3" w:rsidP="00E91EF3" w:rsidRDefault="00E91EF3" w14:paraId="5EA8C993" w14:textId="77777777">
      <w:pPr>
        <w:rPr>
          <w:rStyle w:val="eop"/>
          <w:rFonts w:ascii="Calibri" w:hAnsi="Calibri" w:cs="Calibri"/>
          <w:color w:val="000000" w:themeColor="text1"/>
        </w:rPr>
      </w:pPr>
      <w:r w:rsidRPr="00FC4128">
        <w:rPr>
          <w:rStyle w:val="normaltextrun"/>
          <w:rFonts w:ascii="Calibri" w:hAnsi="Calibri" w:cs="Calibri"/>
          <w:b/>
          <w:bCs/>
          <w:color w:val="000000" w:themeColor="text1"/>
        </w:rPr>
        <w:t>……..</w:t>
      </w:r>
      <w:r w:rsidRPr="00FC4128">
        <w:rPr>
          <w:rStyle w:val="eop"/>
          <w:rFonts w:ascii="Calibri" w:hAnsi="Calibri" w:cs="Calibri"/>
          <w:color w:val="000000" w:themeColor="text1"/>
        </w:rPr>
        <w:t> </w:t>
      </w:r>
    </w:p>
    <w:p w:rsidRPr="00FC4128" w:rsidR="00412169" w:rsidP="00412169" w:rsidRDefault="00412169" w14:paraId="5C4DE24D" w14:textId="77777777">
      <w:pPr>
        <w:rPr>
          <w:rStyle w:val="normaltextrun"/>
          <w:rFonts w:ascii="Calibri" w:hAnsi="Calibri" w:cs="Calibri"/>
          <w:b/>
          <w:bCs/>
          <w:color w:val="000000"/>
          <w:u w:val="single"/>
          <w:bdr w:val="none" w:color="auto" w:sz="0" w:space="0" w:frame="1"/>
        </w:rPr>
      </w:pPr>
    </w:p>
    <w:p w:rsidRPr="00FC4128" w:rsidR="00412169" w:rsidP="00412169" w:rsidRDefault="00412169" w14:paraId="32EF9D48" w14:textId="77777777">
      <w:pPr>
        <w:rPr>
          <w:rStyle w:val="normaltextrun"/>
          <w:rFonts w:ascii="Calibri" w:hAnsi="Calibri" w:cs="Calibri"/>
          <w:b/>
          <w:bCs/>
          <w:color w:val="000000"/>
          <w:u w:val="single"/>
          <w:bdr w:val="none" w:color="auto" w:sz="0" w:space="0" w:frame="1"/>
        </w:rPr>
      </w:pPr>
      <w:r w:rsidRPr="00FC4128">
        <w:rPr>
          <w:rStyle w:val="normaltextrun"/>
          <w:rFonts w:ascii="Calibri" w:hAnsi="Calibri" w:cs="Calibri"/>
          <w:b/>
          <w:bCs/>
          <w:color w:val="000000"/>
          <w:u w:val="single"/>
          <w:bdr w:val="none" w:color="auto" w:sz="0" w:space="0" w:frame="1"/>
        </w:rPr>
        <w:t>5.508.3 Zero-NOx emission buildings.</w:t>
      </w:r>
    </w:p>
    <w:p w:rsidRPr="00FC4128" w:rsidR="00412169" w:rsidP="00412169" w:rsidRDefault="00412169" w14:paraId="2D71AFEB" w14:textId="77777777">
      <w:pPr>
        <w:rPr>
          <w:rStyle w:val="normaltextrun"/>
          <w:rFonts w:ascii="Calibri" w:hAnsi="Calibri" w:cs="Calibri"/>
          <w:b/>
          <w:bCs/>
          <w:color w:val="000000"/>
          <w:u w:val="single"/>
          <w:bdr w:val="none" w:color="auto" w:sz="0" w:space="0" w:frame="1"/>
        </w:rPr>
      </w:pPr>
    </w:p>
    <w:p w:rsidRPr="00FC4128" w:rsidR="00412169" w:rsidP="00412169" w:rsidRDefault="00412169" w14:paraId="7D769F43"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4AC8C5D3" w14:textId="77777777">
      <w:pPr>
        <w:rPr>
          <w:rStyle w:val="normaltextrun"/>
          <w:rFonts w:ascii="Calibri" w:hAnsi="Calibri" w:cs="Calibri"/>
          <w:b/>
          <w:bCs/>
          <w:color w:val="000000"/>
          <w:u w:val="single"/>
          <w:bdr w:val="none" w:color="auto" w:sz="0" w:space="0" w:frame="1"/>
        </w:rPr>
      </w:pPr>
    </w:p>
    <w:p w:rsidRPr="00FC4128" w:rsidR="00412169" w:rsidP="00412169" w:rsidRDefault="00412169" w14:paraId="135A0C7E" w14:textId="77777777">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5.508.3.1. New construction</w:t>
      </w:r>
      <w:r w:rsidRPr="00FC4128">
        <w:rPr>
          <w:rStyle w:val="normaltextrun"/>
          <w:rFonts w:ascii="Calibri" w:hAnsi="Calibri" w:cs="Calibri"/>
          <w:b/>
          <w:bCs/>
          <w:color w:val="000000" w:themeColor="text1"/>
          <w:u w:val="single"/>
        </w:rPr>
        <w:t>.</w:t>
      </w:r>
    </w:p>
    <w:p w:rsidRPr="00FC4128" w:rsidR="00412169" w:rsidP="00412169" w:rsidRDefault="00412169" w14:paraId="009DF347" w14:textId="77777777">
      <w:pPr>
        <w:rPr>
          <w:rStyle w:val="normaltextrun"/>
          <w:rFonts w:ascii="Calibri" w:hAnsi="Calibri" w:cs="Calibri"/>
          <w:b/>
          <w:bCs/>
          <w:color w:val="000000"/>
          <w:shd w:val="clear" w:color="auto" w:fill="FFFFFF"/>
        </w:rPr>
      </w:pPr>
    </w:p>
    <w:p w:rsidRPr="00FC4128" w:rsidR="00412169" w:rsidP="00412169" w:rsidRDefault="00412169" w14:paraId="468A926E" w14:textId="77777777">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412169" w:rsidP="00412169" w:rsidRDefault="00412169" w14:paraId="4D20632C" w14:textId="77777777">
      <w:pPr>
        <w:rPr>
          <w:rStyle w:val="normaltextrun"/>
          <w:rFonts w:ascii="Calibri" w:hAnsi="Calibri" w:cs="Calibri"/>
          <w:b/>
          <w:bCs/>
          <w:color w:val="000000"/>
          <w:u w:val="single"/>
          <w:shd w:val="clear" w:color="auto" w:fill="FFFFFF"/>
        </w:rPr>
      </w:pPr>
    </w:p>
    <w:p w:rsidRPr="00FC4128" w:rsidR="00412169" w:rsidP="00412169" w:rsidRDefault="00412169" w14:paraId="6E8972C9" w14:textId="77777777">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Exceptions:</w:t>
      </w:r>
    </w:p>
    <w:p w:rsidRPr="00FC4128" w:rsidR="00412169" w:rsidP="00412169" w:rsidRDefault="00412169" w14:paraId="2A058720" w14:textId="77777777">
      <w:pPr>
        <w:rPr>
          <w:rFonts w:eastAsia="Times New Roman" w:asciiTheme="minorHAnsi" w:hAnsiTheme="minorHAnsi" w:cstheme="minorBidi"/>
          <w:u w:val="single"/>
        </w:rPr>
      </w:pPr>
    </w:p>
    <w:p w:rsidRPr="00FC4128" w:rsidR="00412169" w:rsidRDefault="00412169" w14:paraId="311DA513" w14:textId="16D70A3D">
      <w:pPr>
        <w:pStyle w:val="paragraph"/>
        <w:numPr>
          <w:ilvl w:val="0"/>
          <w:numId w:val="2"/>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 xml:space="preserve">Nonresidential buildings containing kitchens located in a place of public accommodation, as defined in the California Building Code Chapter 2, may apply to the local enforcing agency for a modification to install commercial food heat-processing equipment that is NOx </w:t>
      </w:r>
      <w:r w:rsidRPr="00FC4128" w:rsidR="00A26C4B">
        <w:rPr>
          <w:rStyle w:val="normaltextrun"/>
          <w:rFonts w:ascii="Calibri" w:hAnsi="Calibri" w:cs="Calibri"/>
          <w:u w:val="single"/>
        </w:rPr>
        <w:t>e</w:t>
      </w:r>
      <w:r w:rsidRPr="00FC4128">
        <w:rPr>
          <w:rStyle w:val="normaltextrun"/>
          <w:rFonts w:ascii="Calibri" w:hAnsi="Calibri" w:cs="Calibri"/>
          <w:u w:val="single"/>
        </w:rPr>
        <w:t xml:space="preserve">mitting </w:t>
      </w:r>
      <w:r w:rsidRPr="00FC4128" w:rsidR="00A26C4B">
        <w:rPr>
          <w:rStyle w:val="normaltextrun"/>
          <w:rFonts w:ascii="Calibri" w:hAnsi="Calibri" w:cs="Calibri"/>
          <w:u w:val="single"/>
        </w:rPr>
        <w:t>e</w:t>
      </w:r>
      <w:r w:rsidRPr="00FC4128">
        <w:rPr>
          <w:rStyle w:val="normaltextrun"/>
          <w:rFonts w:ascii="Calibri" w:hAnsi="Calibri" w:cs="Calibri"/>
          <w:u w:val="single"/>
        </w:rPr>
        <w:t>quipment. The local enforcing agency may grant the modification if they find:</w:t>
      </w:r>
    </w:p>
    <w:p w:rsidRPr="00FC4128" w:rsidR="00412169" w:rsidRDefault="00412169" w14:paraId="5952AA8F" w14:textId="3FADCB58">
      <w:pPr>
        <w:pStyle w:val="paragraph"/>
        <w:numPr>
          <w:ilvl w:val="1"/>
          <w:numId w:val="2"/>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 xml:space="preserve">A business-related need to cook with NOx </w:t>
      </w:r>
      <w:r w:rsidRPr="00FC4128" w:rsidR="00A26C4B">
        <w:rPr>
          <w:rStyle w:val="normaltextrun"/>
          <w:rFonts w:ascii="Calibri" w:hAnsi="Calibri" w:cs="Calibri"/>
          <w:u w:val="single"/>
        </w:rPr>
        <w:t>e</w:t>
      </w:r>
      <w:r w:rsidRPr="00FC4128">
        <w:rPr>
          <w:rStyle w:val="normaltextrun"/>
          <w:rFonts w:ascii="Calibri" w:hAnsi="Calibri" w:cs="Calibri"/>
          <w:u w:val="single"/>
        </w:rPr>
        <w:t xml:space="preserve">mitting </w:t>
      </w:r>
      <w:r w:rsidRPr="00FC4128" w:rsidR="00A26C4B">
        <w:rPr>
          <w:rStyle w:val="normaltextrun"/>
          <w:rFonts w:ascii="Calibri" w:hAnsi="Calibri" w:cs="Calibri"/>
          <w:u w:val="single"/>
        </w:rPr>
        <w:t>e</w:t>
      </w:r>
      <w:r w:rsidRPr="00FC4128">
        <w:rPr>
          <w:rStyle w:val="normaltextrun"/>
          <w:rFonts w:ascii="Calibri" w:hAnsi="Calibri" w:cs="Calibri"/>
          <w:u w:val="single"/>
        </w:rPr>
        <w:t>quipment; and</w:t>
      </w:r>
    </w:p>
    <w:p w:rsidRPr="00FC4128" w:rsidR="00412169" w:rsidRDefault="00412169" w14:paraId="536615ED" w14:textId="69E981AE">
      <w:pPr>
        <w:pStyle w:val="paragraph"/>
        <w:numPr>
          <w:ilvl w:val="1"/>
          <w:numId w:val="2"/>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 xml:space="preserve">The need cannot be achieved equivalently with </w:t>
      </w:r>
      <w:r w:rsidRPr="00FC4128" w:rsidR="00A26C4B">
        <w:rPr>
          <w:rStyle w:val="normaltextrun"/>
          <w:rFonts w:ascii="Calibri" w:hAnsi="Calibri" w:cs="Calibri"/>
          <w:u w:val="single"/>
        </w:rPr>
        <w:t>z</w:t>
      </w:r>
      <w:r w:rsidRPr="00FC4128">
        <w:rPr>
          <w:rStyle w:val="normaltextrun"/>
          <w:rFonts w:ascii="Calibri" w:hAnsi="Calibri" w:cs="Calibri"/>
          <w:u w:val="single"/>
        </w:rPr>
        <w:t xml:space="preserve">ero-NOx </w:t>
      </w:r>
      <w:r w:rsidRPr="00FC4128" w:rsidR="00A26C4B">
        <w:rPr>
          <w:rStyle w:val="normaltextrun"/>
          <w:rFonts w:ascii="Calibri" w:hAnsi="Calibri" w:cs="Calibri"/>
          <w:u w:val="single"/>
        </w:rPr>
        <w:t>e</w:t>
      </w:r>
      <w:r w:rsidRPr="00FC4128">
        <w:rPr>
          <w:rStyle w:val="normaltextrun"/>
          <w:rFonts w:ascii="Calibri" w:hAnsi="Calibri" w:cs="Calibri"/>
          <w:u w:val="single"/>
        </w:rPr>
        <w:t xml:space="preserve">mitting </w:t>
      </w:r>
      <w:r w:rsidRPr="00FC4128" w:rsidR="00A26C4B">
        <w:rPr>
          <w:rStyle w:val="normaltextrun"/>
          <w:rFonts w:ascii="Calibri" w:hAnsi="Calibri" w:cs="Calibri"/>
          <w:u w:val="single"/>
        </w:rPr>
        <w:t>e</w:t>
      </w:r>
      <w:r w:rsidRPr="00FC4128">
        <w:rPr>
          <w:rStyle w:val="normaltextrun"/>
          <w:rFonts w:ascii="Calibri" w:hAnsi="Calibri" w:cs="Calibri"/>
          <w:u w:val="single"/>
        </w:rPr>
        <w:t>quipment; and</w:t>
      </w:r>
    </w:p>
    <w:p w:rsidRPr="00FC4128" w:rsidR="00412169" w:rsidRDefault="00412169" w14:paraId="0E64071B" w14:textId="77777777">
      <w:pPr>
        <w:pStyle w:val="paragraph"/>
        <w:numPr>
          <w:ilvl w:val="1"/>
          <w:numId w:val="2"/>
        </w:numPr>
        <w:spacing w:before="0" w:beforeAutospacing="0" w:after="0" w:afterAutospacing="0"/>
        <w:textAlignment w:val="baseline"/>
        <w:rPr>
          <w:rStyle w:val="normaltextrun"/>
          <w:rFonts w:asciiTheme="minorHAnsi" w:hAnsiTheme="minorHAnsi" w:eastAsiaTheme="minorEastAsia" w:cstheme="minorBidi"/>
          <w:u w:val="single"/>
        </w:rPr>
      </w:pPr>
      <w:r w:rsidRPr="00FC4128">
        <w:rPr>
          <w:rStyle w:val="normaltextrun"/>
          <w:rFonts w:ascii="Calibri" w:hAnsi="Calibri" w:cs="Calibri"/>
          <w:u w:val="single"/>
        </w:rPr>
        <w:lastRenderedPageBreak/>
        <w:t>The applicant has installed energy efficient equipment based on Energy Star or California Energy Wise qualifications, as available.</w:t>
      </w:r>
    </w:p>
    <w:p w:rsidRPr="00FC4128" w:rsidR="00412169" w:rsidRDefault="00412169" w14:paraId="2E7160C4" w14:textId="6D44D4ED">
      <w:pPr>
        <w:pStyle w:val="paragraph"/>
        <w:numPr>
          <w:ilvl w:val="1"/>
          <w:numId w:val="2"/>
        </w:numPr>
        <w:spacing w:before="0" w:beforeAutospacing="0" w:after="0" w:afterAutospacing="0"/>
        <w:textAlignment w:val="baseline"/>
        <w:rPr>
          <w:rStyle w:val="normaltextrun"/>
          <w:rFonts w:ascii="Calibri" w:hAnsi="Calibri" w:cs="Calibri"/>
        </w:rPr>
      </w:pPr>
      <w:r w:rsidRPr="00FC4128">
        <w:rPr>
          <w:rStyle w:val="normaltextrun"/>
          <w:rFonts w:ascii="Calibri" w:hAnsi="Calibri" w:cs="Calibri"/>
          <w:u w:val="single"/>
        </w:rPr>
        <w:t>The applicant shall comply with Section 5.</w:t>
      </w:r>
      <w:r w:rsidRPr="00FC4128" w:rsidR="00E91EF3">
        <w:rPr>
          <w:rStyle w:val="normaltextrun"/>
          <w:rFonts w:ascii="Calibri" w:hAnsi="Calibri" w:cs="Calibri"/>
          <w:u w:val="single"/>
        </w:rPr>
        <w:t>508.3.3</w:t>
      </w:r>
      <w:r w:rsidRPr="00FC4128">
        <w:rPr>
          <w:rStyle w:val="normaltextrun"/>
          <w:rFonts w:ascii="Calibri" w:hAnsi="Calibri" w:cs="Calibri"/>
          <w:u w:val="single"/>
        </w:rPr>
        <w:t>.</w:t>
      </w:r>
    </w:p>
    <w:p w:rsidRPr="00FC4128" w:rsidR="00412169" w:rsidP="00C91539" w:rsidRDefault="00412169" w14:paraId="4405B3DB" w14:textId="77777777">
      <w:pPr>
        <w:pStyle w:val="paragraph"/>
        <w:spacing w:before="0" w:beforeAutospacing="0" w:after="0" w:afterAutospacing="0"/>
        <w:textAlignment w:val="baseline"/>
        <w:rPr>
          <w:rStyle w:val="normaltextrun"/>
          <w:rFonts w:eastAsiaTheme="minorEastAsia"/>
          <w:highlight w:val="lightGray"/>
          <w:u w:val="single"/>
        </w:rPr>
      </w:pPr>
      <w:r w:rsidRPr="00FC4128">
        <w:rPr>
          <w:rStyle w:val="eop"/>
          <w:rFonts w:ascii="Calibri" w:hAnsi="Calibri" w:cs="Calibri" w:eastAsiaTheme="majorEastAsia"/>
        </w:rPr>
        <w:t> </w:t>
      </w:r>
    </w:p>
    <w:p w:rsidRPr="00FC4128" w:rsidR="00412169" w:rsidP="00837643" w:rsidRDefault="75FFDDB2" w14:paraId="6D3FBE84" w14:textId="77562BCE">
      <w:pPr>
        <w:pStyle w:val="paragraph"/>
        <w:spacing w:before="0" w:beforeAutospacing="0" w:after="0" w:afterAutospacing="0"/>
        <w:ind w:left="360"/>
        <w:textAlignment w:val="baseline"/>
        <w:rPr>
          <w:rStyle w:val="eop"/>
          <w:rFonts w:ascii="Calibri" w:hAnsi="Calibri" w:cs="Calibri" w:eastAsiaTheme="majorEastAsia"/>
        </w:rPr>
      </w:pPr>
      <w:r w:rsidRPr="003D4C47">
        <w:rPr>
          <w:rStyle w:val="normaltextrun"/>
          <w:rFonts w:ascii="Calibri" w:hAnsi="Calibri" w:cs="Calibri"/>
          <w:highlight w:val="lightGray"/>
          <w:u w:val="single"/>
        </w:rPr>
        <w:t>[</w:t>
      </w:r>
      <w:r w:rsidRPr="003D4C47" w:rsidR="00131631">
        <w:rPr>
          <w:rFonts w:asciiTheme="minorHAnsi" w:hAnsiTheme="minorHAnsi" w:cstheme="minorBidi"/>
          <w:highlight w:val="lightGray"/>
          <w:u w:val="single"/>
        </w:rPr>
        <w:t>Jurisdiction</w:t>
      </w:r>
      <w:r w:rsidRPr="003D4C47">
        <w:rPr>
          <w:rStyle w:val="normaltextrun"/>
          <w:rFonts w:ascii="Calibri" w:hAnsi="Calibri" w:cs="Calibri"/>
          <w:highlight w:val="lightGray"/>
          <w:u w:val="single"/>
        </w:rPr>
        <w:t xml:space="preserve">] </w:t>
      </w:r>
      <w:r w:rsidRPr="00FC4128">
        <w:rPr>
          <w:rStyle w:val="normaltextrun"/>
          <w:rFonts w:ascii="Calibri" w:hAnsi="Calibri" w:cs="Calibri"/>
          <w:u w:val="single"/>
        </w:rPr>
        <w:t>shall have the authority to approve alternative materials, design and methods of construction or equipment per California Building Code Section 104.</w:t>
      </w:r>
      <w:r w:rsidRPr="00FC4128">
        <w:rPr>
          <w:rStyle w:val="eop"/>
          <w:rFonts w:ascii="Calibri" w:hAnsi="Calibri" w:cs="Calibri" w:eastAsiaTheme="majorEastAsia"/>
        </w:rPr>
        <w:t> </w:t>
      </w:r>
    </w:p>
    <w:p w:rsidRPr="00FC4128" w:rsidR="00412169" w:rsidP="00412169" w:rsidRDefault="00412169" w14:paraId="417CC7B6" w14:textId="77777777">
      <w:pPr>
        <w:rPr>
          <w:rStyle w:val="normaltextrun"/>
          <w:rFonts w:ascii="Calibri" w:hAnsi="Calibri" w:cs="Calibri"/>
          <w:b/>
          <w:bCs/>
          <w:color w:val="000000"/>
          <w:u w:val="single"/>
          <w:bdr w:val="none" w:color="auto" w:sz="0" w:space="0" w:frame="1"/>
        </w:rPr>
      </w:pPr>
    </w:p>
    <w:p w:rsidRPr="00FC4128" w:rsidR="00412169" w:rsidP="00412169" w:rsidRDefault="00412169" w14:paraId="6B067166" w14:textId="6E0D32F3">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 xml:space="preserve">5.508.3.2. Substantially </w:t>
      </w:r>
      <w:r w:rsidRPr="00FC4128" w:rsidR="005930CF">
        <w:rPr>
          <w:rStyle w:val="normaltextrun"/>
          <w:rFonts w:ascii="Calibri" w:hAnsi="Calibri" w:cs="Calibri"/>
          <w:b/>
          <w:bCs/>
          <w:color w:val="000000"/>
          <w:u w:val="single"/>
          <w:shd w:val="clear" w:color="auto" w:fill="FFFFFF"/>
        </w:rPr>
        <w:t>a</w:t>
      </w:r>
      <w:r w:rsidRPr="00FC4128">
        <w:rPr>
          <w:rStyle w:val="normaltextrun"/>
          <w:rFonts w:ascii="Calibri" w:hAnsi="Calibri" w:cs="Calibri"/>
          <w:b/>
          <w:bCs/>
          <w:color w:val="000000"/>
          <w:u w:val="single"/>
          <w:shd w:val="clear" w:color="auto" w:fill="FFFFFF"/>
        </w:rPr>
        <w:t xml:space="preserve">ltered </w:t>
      </w:r>
      <w:r w:rsidRPr="00FC4128" w:rsidR="005930CF">
        <w:rPr>
          <w:rStyle w:val="normaltextrun"/>
          <w:rFonts w:ascii="Calibri" w:hAnsi="Calibri" w:cs="Calibri"/>
          <w:b/>
          <w:bCs/>
          <w:color w:val="000000"/>
          <w:u w:val="single"/>
          <w:shd w:val="clear" w:color="auto" w:fill="FFFFFF"/>
        </w:rPr>
        <w:t>s</w:t>
      </w:r>
      <w:r w:rsidRPr="00FC4128">
        <w:rPr>
          <w:rStyle w:val="normaltextrun"/>
          <w:rFonts w:ascii="Calibri" w:hAnsi="Calibri" w:cs="Calibri"/>
          <w:b/>
          <w:bCs/>
          <w:color w:val="000000"/>
          <w:u w:val="single"/>
          <w:shd w:val="clear" w:color="auto" w:fill="FFFFFF"/>
        </w:rPr>
        <w:t>tructures</w:t>
      </w:r>
      <w:r w:rsidRPr="00FC4128">
        <w:rPr>
          <w:rStyle w:val="normaltextrun"/>
          <w:rFonts w:ascii="Calibri" w:hAnsi="Calibri" w:cs="Calibri"/>
          <w:b/>
          <w:bCs/>
          <w:color w:val="000000" w:themeColor="text1"/>
          <w:u w:val="single"/>
        </w:rPr>
        <w:t>.</w:t>
      </w:r>
    </w:p>
    <w:p w:rsidRPr="00FC4128" w:rsidR="00412169" w:rsidP="00412169" w:rsidRDefault="00412169" w14:paraId="71393F8D" w14:textId="77777777">
      <w:pPr>
        <w:rPr>
          <w:rStyle w:val="normaltextrun"/>
          <w:rFonts w:ascii="Calibri" w:hAnsi="Calibri" w:cs="Calibri"/>
          <w:b/>
          <w:bCs/>
          <w:color w:val="000000"/>
          <w:shd w:val="clear" w:color="auto" w:fill="FFFFFF"/>
        </w:rPr>
      </w:pPr>
    </w:p>
    <w:p w:rsidRPr="00FC4128" w:rsidR="003D2089" w:rsidP="00412169" w:rsidRDefault="00412169" w14:paraId="6C444B54" w14:textId="300F28B8">
      <w:pPr>
        <w:rPr>
          <w:rStyle w:val="eop"/>
          <w:rFonts w:ascii="Calibri" w:hAnsi="Calibri" w:cs="Calibri"/>
          <w:color w:val="000000"/>
          <w:shd w:val="clear" w:color="auto" w:fill="FFFFFF"/>
        </w:rPr>
      </w:pPr>
      <w:r w:rsidRPr="00FC4128">
        <w:rPr>
          <w:rStyle w:val="normaltextrun"/>
          <w:rFonts w:ascii="Calibri" w:hAnsi="Calibri" w:cs="Calibri"/>
          <w:b/>
          <w:bCs/>
          <w:color w:val="000000"/>
          <w:shd w:val="clear" w:color="auto" w:fill="FFFFFF"/>
        </w:rPr>
        <w:t>……..</w:t>
      </w:r>
      <w:r w:rsidRPr="00FC4128">
        <w:rPr>
          <w:rStyle w:val="eop"/>
          <w:rFonts w:ascii="Calibri" w:hAnsi="Calibri" w:cs="Calibri"/>
          <w:color w:val="000000"/>
          <w:shd w:val="clear" w:color="auto" w:fill="FFFFFF"/>
        </w:rPr>
        <w:t> </w:t>
      </w:r>
    </w:p>
    <w:p w:rsidRPr="00FC4128" w:rsidR="005B75F2" w:rsidP="005B75F2" w:rsidRDefault="005B75F2" w14:paraId="361EBC01" w14:textId="77777777">
      <w:pPr>
        <w:rPr>
          <w:rStyle w:val="normaltextrun"/>
          <w:rFonts w:ascii="Calibri" w:hAnsi="Calibri" w:cs="Calibri"/>
          <w:b/>
          <w:bCs/>
          <w:color w:val="000000"/>
          <w:u w:val="single"/>
          <w:shd w:val="clear" w:color="auto" w:fill="FFFFFF"/>
        </w:rPr>
      </w:pPr>
    </w:p>
    <w:p w:rsidRPr="00FC4128" w:rsidR="005B75F2" w:rsidP="005B75F2" w:rsidRDefault="005B75F2" w14:paraId="399C9DB9" w14:textId="660A59AA">
      <w:pPr>
        <w:rPr>
          <w:rStyle w:val="normaltextrun"/>
          <w:rFonts w:ascii="Calibri" w:hAnsi="Calibri" w:cs="Calibri"/>
          <w:b/>
          <w:bCs/>
          <w:color w:val="000000"/>
          <w:u w:val="single"/>
          <w:shd w:val="clear" w:color="auto" w:fill="FFFFFF"/>
        </w:rPr>
      </w:pPr>
      <w:r w:rsidRPr="00FC4128">
        <w:rPr>
          <w:rStyle w:val="normaltextrun"/>
          <w:rFonts w:ascii="Calibri" w:hAnsi="Calibri" w:cs="Calibri"/>
          <w:b/>
          <w:bCs/>
          <w:color w:val="000000"/>
          <w:u w:val="single"/>
          <w:shd w:val="clear" w:color="auto" w:fill="FFFFFF"/>
        </w:rPr>
        <w:t>Exceptions:</w:t>
      </w:r>
    </w:p>
    <w:p w:rsidRPr="00FC4128" w:rsidR="005B75F2" w:rsidP="005B75F2" w:rsidRDefault="005B75F2" w14:paraId="485B9E38" w14:textId="77777777">
      <w:pPr>
        <w:rPr>
          <w:rFonts w:eastAsia="Times New Roman" w:asciiTheme="minorHAnsi" w:hAnsiTheme="minorHAnsi" w:cstheme="minorBidi"/>
          <w:u w:val="single"/>
        </w:rPr>
      </w:pPr>
    </w:p>
    <w:p w:rsidRPr="00FC4128" w:rsidR="005B75F2" w:rsidRDefault="005B75F2" w14:paraId="7DD1A647" w14:textId="77777777">
      <w:pPr>
        <w:pStyle w:val="paragraph"/>
        <w:numPr>
          <w:ilvl w:val="0"/>
          <w:numId w:val="6"/>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Nonresidential buildings containing kitchens located in a place of public accommodation, as defined in the California Building Code Chapter 2, may apply to the local enforcing agency for a modification to install commercial food heat-processing equipment that is NOx emitting equipment. The local enforcing agency may grant the modification if they find:</w:t>
      </w:r>
    </w:p>
    <w:p w:rsidRPr="00FC4128" w:rsidR="005B75F2" w:rsidRDefault="005B75F2" w14:paraId="6EE4ED1F" w14:textId="77777777">
      <w:pPr>
        <w:pStyle w:val="paragraph"/>
        <w:numPr>
          <w:ilvl w:val="1"/>
          <w:numId w:val="6"/>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A business-related need to cook with NOx emitting equipment; and</w:t>
      </w:r>
    </w:p>
    <w:p w:rsidRPr="00FC4128" w:rsidR="005B75F2" w:rsidRDefault="005B75F2" w14:paraId="5F69BDDD" w14:textId="77777777">
      <w:pPr>
        <w:pStyle w:val="paragraph"/>
        <w:numPr>
          <w:ilvl w:val="1"/>
          <w:numId w:val="6"/>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u w:val="single"/>
        </w:rPr>
        <w:t>The need cannot be achieved equivalently with zero-NOx emitting equipment; and</w:t>
      </w:r>
    </w:p>
    <w:p w:rsidRPr="00FC4128" w:rsidR="005B75F2" w:rsidRDefault="005B75F2" w14:paraId="76A5AE02" w14:textId="77777777">
      <w:pPr>
        <w:pStyle w:val="paragraph"/>
        <w:numPr>
          <w:ilvl w:val="1"/>
          <w:numId w:val="6"/>
        </w:numPr>
        <w:spacing w:before="0" w:beforeAutospacing="0" w:after="0" w:afterAutospacing="0"/>
        <w:textAlignment w:val="baseline"/>
        <w:rPr>
          <w:rStyle w:val="normaltextrun"/>
          <w:rFonts w:asciiTheme="minorHAnsi" w:hAnsiTheme="minorHAnsi" w:eastAsiaTheme="minorEastAsia" w:cstheme="minorBidi"/>
          <w:u w:val="single"/>
        </w:rPr>
      </w:pPr>
      <w:r w:rsidRPr="00FC4128">
        <w:rPr>
          <w:rStyle w:val="normaltextrun"/>
          <w:rFonts w:ascii="Calibri" w:hAnsi="Calibri" w:cs="Calibri"/>
          <w:u w:val="single"/>
        </w:rPr>
        <w:t>The applicant has installed energy efficient equipment based on Energy Star or California Energy Wise qualifications, as available.</w:t>
      </w:r>
    </w:p>
    <w:p w:rsidRPr="00FC4128" w:rsidR="005B75F2" w:rsidRDefault="005B75F2" w14:paraId="4D11840D" w14:textId="77777777">
      <w:pPr>
        <w:pStyle w:val="paragraph"/>
        <w:numPr>
          <w:ilvl w:val="1"/>
          <w:numId w:val="6"/>
        </w:numPr>
        <w:spacing w:before="0" w:beforeAutospacing="0" w:after="0" w:afterAutospacing="0"/>
        <w:textAlignment w:val="baseline"/>
        <w:rPr>
          <w:rStyle w:val="normaltextrun"/>
          <w:rFonts w:ascii="Calibri" w:hAnsi="Calibri" w:cs="Calibri"/>
        </w:rPr>
      </w:pPr>
      <w:r w:rsidRPr="00FC4128">
        <w:rPr>
          <w:rStyle w:val="normaltextrun"/>
          <w:rFonts w:ascii="Calibri" w:hAnsi="Calibri" w:cs="Calibri"/>
          <w:u w:val="single"/>
        </w:rPr>
        <w:t>The applicant shall comply with Section 5.508.3.3.</w:t>
      </w:r>
    </w:p>
    <w:p w:rsidRPr="00FC4128" w:rsidR="005B75F2" w:rsidP="00C91539" w:rsidRDefault="005B75F2" w14:paraId="7A861FC7" w14:textId="77777777">
      <w:pPr>
        <w:pStyle w:val="paragraph"/>
        <w:spacing w:before="0" w:beforeAutospacing="0" w:after="0" w:afterAutospacing="0"/>
        <w:textAlignment w:val="baseline"/>
        <w:rPr>
          <w:rStyle w:val="normaltextrun"/>
          <w:rFonts w:eastAsiaTheme="minorEastAsia"/>
          <w:highlight w:val="lightGray"/>
          <w:u w:val="single"/>
        </w:rPr>
      </w:pPr>
      <w:r w:rsidRPr="00FC4128">
        <w:rPr>
          <w:rStyle w:val="eop"/>
          <w:rFonts w:ascii="Calibri" w:hAnsi="Calibri" w:cs="Calibri" w:eastAsiaTheme="majorEastAsia"/>
        </w:rPr>
        <w:t> </w:t>
      </w:r>
    </w:p>
    <w:p w:rsidRPr="00FC4128" w:rsidR="005B75F2" w:rsidP="005B75F2" w:rsidRDefault="005B75F2" w14:paraId="067DFE0C" w14:textId="0C3D437A">
      <w:pPr>
        <w:pStyle w:val="paragraph"/>
        <w:spacing w:before="0" w:beforeAutospacing="0" w:after="0" w:afterAutospacing="0"/>
        <w:ind w:left="360"/>
        <w:textAlignment w:val="baseline"/>
        <w:rPr>
          <w:rStyle w:val="eop"/>
          <w:rFonts w:ascii="Calibri" w:hAnsi="Calibri" w:cs="Calibri" w:eastAsiaTheme="majorEastAsia"/>
        </w:rPr>
      </w:pPr>
      <w:r w:rsidRPr="003D4C47">
        <w:rPr>
          <w:rStyle w:val="normaltextrun"/>
          <w:rFonts w:ascii="Calibri" w:hAnsi="Calibri" w:cs="Calibri"/>
          <w:highlight w:val="lightGray"/>
          <w:u w:val="single"/>
        </w:rPr>
        <w:t>[</w:t>
      </w:r>
      <w:r w:rsidRPr="003D4C47" w:rsidR="00131631">
        <w:rPr>
          <w:rFonts w:asciiTheme="minorHAnsi" w:hAnsiTheme="minorHAnsi" w:cstheme="minorBidi"/>
          <w:highlight w:val="lightGray"/>
          <w:u w:val="single"/>
        </w:rPr>
        <w:t>Jurisdiction</w:t>
      </w:r>
      <w:r w:rsidRPr="003D4C47">
        <w:rPr>
          <w:rStyle w:val="normaltextrun"/>
          <w:rFonts w:ascii="Calibri" w:hAnsi="Calibri" w:cs="Calibri"/>
          <w:highlight w:val="lightGray"/>
          <w:u w:val="single"/>
        </w:rPr>
        <w:t>]</w:t>
      </w:r>
      <w:r w:rsidRPr="00FC4128">
        <w:rPr>
          <w:rStyle w:val="normaltextrun"/>
          <w:rFonts w:ascii="Calibri" w:hAnsi="Calibri" w:cs="Calibri"/>
          <w:u w:val="single"/>
        </w:rPr>
        <w:t xml:space="preserve"> shall have the authority to approve alternative materials, design and methods of construction or equipment per California Building Code Section 104.</w:t>
      </w:r>
      <w:r w:rsidRPr="00FC4128">
        <w:rPr>
          <w:rStyle w:val="eop"/>
          <w:rFonts w:ascii="Calibri" w:hAnsi="Calibri" w:cs="Calibri" w:eastAsiaTheme="majorEastAsia"/>
        </w:rPr>
        <w:t> </w:t>
      </w:r>
    </w:p>
    <w:p w:rsidRPr="00FC4128" w:rsidR="005B75F2" w:rsidP="005B75F2" w:rsidRDefault="005B75F2" w14:paraId="2C02176B" w14:textId="77777777">
      <w:pPr>
        <w:pStyle w:val="paragraph"/>
        <w:spacing w:before="0" w:beforeAutospacing="0" w:after="0" w:afterAutospacing="0"/>
        <w:textAlignment w:val="baseline"/>
        <w:rPr>
          <w:rStyle w:val="normaltextrun"/>
          <w:rFonts w:ascii="Calibri" w:hAnsi="Calibri" w:cs="Calibri"/>
        </w:rPr>
      </w:pPr>
    </w:p>
    <w:p w:rsidRPr="00FC4128" w:rsidR="007A7B42" w:rsidP="00C91539" w:rsidRDefault="007A7B42" w14:paraId="26C770A4" w14:textId="77777777">
      <w:pPr>
        <w:rPr>
          <w:rFonts w:eastAsia="Times New Roman" w:cs="Calibri"/>
          <w:u w:val="single"/>
        </w:rPr>
      </w:pPr>
    </w:p>
    <w:p w:rsidRPr="00FC4128" w:rsidR="00C91539" w:rsidP="00C91539" w:rsidRDefault="00C91539" w14:paraId="5DD4187D" w14:textId="46E13289">
      <w:pPr>
        <w:pStyle w:val="paragraph"/>
        <w:spacing w:before="0" w:beforeAutospacing="0" w:after="0" w:afterAutospacing="0"/>
        <w:textAlignment w:val="baseline"/>
        <w:rPr>
          <w:rFonts w:ascii="Segoe UI" w:hAnsi="Segoe UI" w:cs="Segoe UI"/>
        </w:rPr>
      </w:pPr>
      <w:r w:rsidRPr="00FC4128">
        <w:rPr>
          <w:rFonts w:ascii="Calibri" w:hAnsi="Calibri" w:cs="Calibri"/>
          <w:b/>
          <w:bCs/>
          <w:u w:val="single"/>
        </w:rPr>
        <w:t xml:space="preserve">5.508.3.3. Zero-NOx readiness requirements for </w:t>
      </w:r>
      <w:r w:rsidRPr="00FC4128">
        <w:rPr>
          <w:rStyle w:val="normaltextrun"/>
          <w:rFonts w:ascii="Calibri" w:hAnsi="Calibri" w:cs="Calibri"/>
          <w:b/>
          <w:bCs/>
          <w:u w:val="single"/>
        </w:rPr>
        <w:t>commercial food heat-processing equipment</w:t>
      </w:r>
      <w:r w:rsidRPr="00FC4128">
        <w:rPr>
          <w:rFonts w:ascii="Calibri" w:hAnsi="Calibri" w:cs="Calibri"/>
          <w:b/>
          <w:bCs/>
          <w:u w:val="single"/>
        </w:rPr>
        <w:t>.</w:t>
      </w:r>
      <w:r w:rsidRPr="00FC4128">
        <w:rPr>
          <w:rFonts w:ascii="Calibri" w:hAnsi="Calibri" w:cs="Calibri"/>
          <w:b/>
          <w:bCs/>
          <w:i/>
          <w:iCs/>
          <w:u w:val="single"/>
        </w:rPr>
        <w:t> </w:t>
      </w:r>
      <w:r w:rsidRPr="00FC4128">
        <w:rPr>
          <w:rFonts w:ascii="Calibri" w:hAnsi="Calibri" w:cs="Calibri"/>
        </w:rPr>
        <w:t> </w:t>
      </w:r>
    </w:p>
    <w:p w:rsidRPr="00FC4128" w:rsidR="00C91539" w:rsidP="00C91539" w:rsidRDefault="1C0710A7" w14:paraId="2CBC5352" w14:textId="3FFADCC1">
      <w:pPr>
        <w:widowControl/>
        <w:kinsoku/>
        <w:textAlignment w:val="baseline"/>
        <w:rPr>
          <w:rFonts w:ascii="Calibri" w:hAnsi="Calibri" w:eastAsia="Times New Roman" w:cs="Calibri"/>
          <w:u w:val="single"/>
        </w:rPr>
      </w:pPr>
      <w:r w:rsidRPr="00FC4128">
        <w:rPr>
          <w:rFonts w:ascii="Calibri" w:hAnsi="Calibri" w:eastAsia="Times New Roman" w:cs="Calibri"/>
          <w:u w:val="single"/>
        </w:rPr>
        <w:t xml:space="preserve">Where NOx emitting commercial food heat-processing equipment is allowed as an exception under 5.508.3.1, or 5.508.3.2, the construction drawings shall provide for the infrastructure and physical space needed to accommodate the future installation of a zero-NOx emitting </w:t>
      </w:r>
      <w:r w:rsidRPr="00FC4128">
        <w:rPr>
          <w:rStyle w:val="normaltextrun"/>
          <w:rFonts w:ascii="Calibri" w:hAnsi="Calibri" w:cs="Calibri"/>
          <w:u w:val="single"/>
        </w:rPr>
        <w:t xml:space="preserve">commercial food heat-processing </w:t>
      </w:r>
      <w:r w:rsidRPr="00FC4128">
        <w:rPr>
          <w:rFonts w:ascii="Calibri" w:hAnsi="Calibri" w:eastAsia="Times New Roman" w:cs="Calibri"/>
          <w:u w:val="single"/>
        </w:rPr>
        <w:t>appliance in the following ways, as certified by a registered design professional or licensed electrical contractor:</w:t>
      </w:r>
    </w:p>
    <w:p w:rsidRPr="00FC4128" w:rsidR="00C91539" w:rsidP="00C91539" w:rsidRDefault="00C91539" w14:paraId="4FD53772" w14:textId="77777777">
      <w:pPr>
        <w:rPr>
          <w:rStyle w:val="normaltextrun"/>
          <w:rFonts w:ascii="Calibri" w:hAnsi="Calibri" w:cs="Calibri"/>
          <w:u w:val="single"/>
        </w:rPr>
      </w:pPr>
    </w:p>
    <w:p w:rsidRPr="00FC4128" w:rsidR="00BE3921" w:rsidRDefault="00BE3921" w14:paraId="7DC1BD34" w14:textId="489F917E">
      <w:pPr>
        <w:pStyle w:val="paragraph"/>
        <w:numPr>
          <w:ilvl w:val="0"/>
          <w:numId w:val="7"/>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color w:val="000000"/>
          <w:u w:val="single"/>
          <w:shd w:val="clear" w:color="auto" w:fill="FFFFFF"/>
        </w:rPr>
        <w:t>Dedicated branch circuit wiring, electrically isolated and designed to serve zero-NOx emitting equipment in accordance with manufacturer requirements, including the appropriate voltage, phase, minimum amperage, and an electrical receptacle or junction box within five feet of the appliance that is accessible with no obstructions. Appropriately sized conduit may be installed in lieu of conductors.</w:t>
      </w:r>
      <w:r w:rsidRPr="00FC4128">
        <w:rPr>
          <w:rStyle w:val="normaltextrun"/>
          <w:rFonts w:ascii="Calibri" w:hAnsi="Calibri" w:cs="Calibri"/>
          <w:u w:val="single"/>
        </w:rPr>
        <w:t xml:space="preserve"> All electrical components shall be installed in accordance with the California Electrical Code;</w:t>
      </w:r>
      <w:r w:rsidRPr="00FC4128">
        <w:rPr>
          <w:rStyle w:val="normaltextrun"/>
          <w:rFonts w:ascii="Calibri" w:hAnsi="Calibri" w:cs="Calibri"/>
          <w:color w:val="000000"/>
          <w:u w:val="single"/>
          <w:shd w:val="clear" w:color="auto" w:fill="FFFFFF"/>
        </w:rPr>
        <w:t xml:space="preserve"> and</w:t>
      </w:r>
      <w:r w:rsidRPr="00FC4128">
        <w:rPr>
          <w:rStyle w:val="eop"/>
          <w:rFonts w:ascii="Calibri" w:hAnsi="Calibri" w:cs="Calibri"/>
          <w:color w:val="000000"/>
          <w:shd w:val="clear" w:color="auto" w:fill="FFFFFF"/>
        </w:rPr>
        <w:t> </w:t>
      </w:r>
    </w:p>
    <w:p w:rsidRPr="00FC4128" w:rsidR="00BE3921" w:rsidP="00BE3921" w:rsidRDefault="00BE3921" w14:paraId="6961A929" w14:textId="77777777">
      <w:pPr>
        <w:rPr>
          <w:rStyle w:val="normaltextrun"/>
          <w:rFonts w:ascii="Calibri" w:hAnsi="Calibri" w:cs="Calibri"/>
          <w:u w:val="single"/>
        </w:rPr>
      </w:pPr>
    </w:p>
    <w:p w:rsidRPr="00FC4128" w:rsidR="00BE3921" w:rsidRDefault="00BE3921" w14:paraId="57C63164" w14:textId="68C17CEB">
      <w:pPr>
        <w:pStyle w:val="paragraph"/>
        <w:numPr>
          <w:ilvl w:val="0"/>
          <w:numId w:val="7"/>
        </w:numPr>
        <w:spacing w:before="0" w:beforeAutospacing="0" w:after="0" w:afterAutospacing="0"/>
        <w:textAlignment w:val="baseline"/>
        <w:rPr>
          <w:rStyle w:val="normaltextrun"/>
          <w:rFonts w:ascii="Calibri" w:hAnsi="Calibri" w:cs="Calibri"/>
          <w:u w:val="single"/>
        </w:rPr>
      </w:pPr>
      <w:r w:rsidRPr="00FC4128">
        <w:rPr>
          <w:rStyle w:val="normaltextrun"/>
          <w:rFonts w:ascii="Calibri" w:hAnsi="Calibri" w:cs="Calibri"/>
          <w:color w:val="000000"/>
          <w:u w:val="single"/>
          <w:shd w:val="clear" w:color="auto" w:fill="FFFFFF"/>
        </w:rPr>
        <w:lastRenderedPageBreak/>
        <w:t>Reserved circuit breakers in the electrical panel for each branch circuit, permanently marked as “For Future Zero-NOx Range”, and positioned on the opposite end of the panel supply conductor connection.</w:t>
      </w:r>
    </w:p>
    <w:p w:rsidRPr="00FC4128" w:rsidR="007A7B42" w:rsidP="007A7B42" w:rsidRDefault="007A7B42" w14:paraId="62D1D439" w14:textId="77777777">
      <w:pPr>
        <w:pStyle w:val="ListParagraph"/>
        <w:rPr>
          <w:rFonts w:eastAsia="Times New Roman" w:cs="Calibri"/>
          <w:sz w:val="24"/>
          <w:szCs w:val="24"/>
          <w:u w:val="single"/>
        </w:rPr>
      </w:pPr>
    </w:p>
    <w:p w:rsidRPr="00FC4128" w:rsidR="00E91EF3" w:rsidP="00E91EF3" w:rsidRDefault="00E91EF3" w14:paraId="5B082C55" w14:textId="3A3B2A3E">
      <w:pPr>
        <w:pStyle w:val="Default"/>
        <w:rPr>
          <w:color w:val="auto"/>
          <w:u w:val="single"/>
        </w:rPr>
      </w:pPr>
      <w:r w:rsidRPr="00FC4128">
        <w:rPr>
          <w:b/>
          <w:bCs/>
          <w:color w:val="auto"/>
          <w:u w:val="single"/>
        </w:rPr>
        <w:t xml:space="preserve">5.508.3.4 Technical Infeasibilities. </w:t>
      </w:r>
      <w:r w:rsidRPr="00FC4128">
        <w:rPr>
          <w:color w:val="auto"/>
          <w:u w:val="single"/>
        </w:rPr>
        <w:t xml:space="preserve">For technical infeasibilities, the property owner shall submit a request to use alternate means and methods. The property owner shall provide any additional information required by the Building Official to make a determination on the request per the 2022 CALGreen, Section 101.8. The determination of the Building Official may be appealed to the City Council, as provided in </w:t>
      </w:r>
      <w:commentRangeStart w:id="2"/>
      <w:r w:rsidRPr="00FC4128">
        <w:rPr>
          <w:color w:val="auto"/>
          <w:u w:val="single"/>
        </w:rPr>
        <w:t>Section 1-4.01.</w:t>
      </w:r>
      <w:commentRangeEnd w:id="2"/>
      <w:r w:rsidRPr="00FC4128">
        <w:rPr>
          <w:rStyle w:val="CommentReference"/>
          <w:color w:val="auto"/>
          <w:sz w:val="24"/>
        </w:rPr>
        <w:commentReference w:id="2"/>
      </w:r>
    </w:p>
    <w:p w:rsidRPr="00FC4128" w:rsidR="00412169" w:rsidP="00837643" w:rsidRDefault="00412169" w14:paraId="0DACF773" w14:textId="77777777">
      <w:pPr>
        <w:pStyle w:val="Default"/>
        <w:rPr>
          <w:color w:val="auto"/>
          <w:u w:val="single"/>
        </w:rPr>
      </w:pPr>
    </w:p>
    <w:sectPr w:rsidRPr="00FC4128" w:rsidR="00412169" w:rsidSect="006763D7">
      <w:headerReference w:type="even" r:id="rId15"/>
      <w:headerReference w:type="default" r:id="rId16"/>
      <w:footerReference w:type="default" r:id="rId17"/>
      <w:headerReference w:type="first" r:id="rId18"/>
      <w:pgSz w:w="12240" w:h="15840" w:orient="portrait"/>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T" w:author="Taylor, Taylor" w:date="2024-04-11T14:48:00Z" w:id="0">
    <w:p w:rsidR="001B68CD" w:rsidP="001B68CD" w:rsidRDefault="001B68CD" w14:paraId="5022EB71" w14:textId="77777777">
      <w:pPr>
        <w:pStyle w:val="CommentText"/>
      </w:pPr>
      <w:r>
        <w:rPr>
          <w:rStyle w:val="CommentReference"/>
        </w:rPr>
        <w:annotationRef/>
      </w:r>
      <w:r>
        <w:t>Generic findings are included for reference. Jurisdictions should customize as needed.</w:t>
      </w:r>
    </w:p>
  </w:comment>
  <w:comment w:initials="TT" w:author="Taylor, Taylor" w:date="2024-02-16T16:08:00Z" w:id="1">
    <w:p w:rsidR="00E91EF3" w:rsidP="00E91EF3" w:rsidRDefault="00E91EF3" w14:paraId="62BFFEC8" w14:textId="118FA866">
      <w:pPr>
        <w:pStyle w:val="CommentText"/>
      </w:pPr>
      <w:r>
        <w:rPr>
          <w:rStyle w:val="CommentReference"/>
        </w:rPr>
        <w:annotationRef/>
      </w:r>
      <w:r>
        <w:t>To be updated per jurisdiction</w:t>
      </w:r>
    </w:p>
  </w:comment>
  <w:comment w:initials="TT" w:author="Taylor, Taylor" w:date="2024-02-16T16:07:00Z" w:id="2">
    <w:p w:rsidR="00E91EF3" w:rsidP="00E91EF3" w:rsidRDefault="00E91EF3" w14:paraId="6399AAEB" w14:textId="524DF5AD">
      <w:pPr>
        <w:pStyle w:val="CommentText"/>
      </w:pPr>
      <w:r>
        <w:rPr>
          <w:rStyle w:val="CommentReference"/>
        </w:rPr>
        <w:annotationRef/>
      </w:r>
      <w:r>
        <w:t>To be updated per jurisdiction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22EB71" w15:done="0"/>
  <w15:commentEx w15:paraId="62BFFEC8" w15:done="0"/>
  <w15:commentEx w15:paraId="6399A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32EA54" w16cex:dateUtc="2024-04-11T21:48:00Z"/>
  <w16cex:commentExtensible w16cex:durableId="28D16E7C" w16cex:dateUtc="2024-02-17T00:08:00Z"/>
  <w16cex:commentExtensible w16cex:durableId="010CE290" w16cex:dateUtc="2024-02-17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22EB71" w16cid:durableId="1A32EA54"/>
  <w16cid:commentId w16cid:paraId="62BFFEC8" w16cid:durableId="28D16E7C"/>
  <w16cid:commentId w16cid:paraId="6399AAEB" w16cid:durableId="010CE2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3D7" w:rsidP="00231F8C" w:rsidRDefault="006763D7" w14:paraId="0EAD653B" w14:textId="77777777">
      <w:r>
        <w:separator/>
      </w:r>
    </w:p>
  </w:endnote>
  <w:endnote w:type="continuationSeparator" w:id="0">
    <w:p w:rsidR="006763D7" w:rsidP="00231F8C" w:rsidRDefault="006763D7" w14:paraId="0B19F577" w14:textId="77777777">
      <w:r>
        <w:continuationSeparator/>
      </w:r>
    </w:p>
  </w:endnote>
  <w:endnote w:type="continuationNotice" w:id="1">
    <w:p w:rsidR="006763D7" w:rsidRDefault="006763D7" w14:paraId="28BD61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76502"/>
      <w:docPartObj>
        <w:docPartGallery w:val="Page Numbers (Bottom of Page)"/>
        <w:docPartUnique/>
      </w:docPartObj>
    </w:sdtPr>
    <w:sdtEndPr>
      <w:rPr>
        <w:noProof/>
      </w:rPr>
    </w:sdtEndPr>
    <w:sdtContent>
      <w:p w:rsidR="00837643" w:rsidRDefault="00837643" w14:paraId="636CC6F3" w14:textId="625220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7643" w:rsidRDefault="00837643" w14:paraId="75FD2C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3D7" w:rsidP="00231F8C" w:rsidRDefault="006763D7" w14:paraId="079549E7" w14:textId="77777777">
      <w:r>
        <w:separator/>
      </w:r>
    </w:p>
  </w:footnote>
  <w:footnote w:type="continuationSeparator" w:id="0">
    <w:p w:rsidR="006763D7" w:rsidP="00231F8C" w:rsidRDefault="006763D7" w14:paraId="237651FA" w14:textId="77777777">
      <w:r>
        <w:continuationSeparator/>
      </w:r>
    </w:p>
  </w:footnote>
  <w:footnote w:type="continuationNotice" w:id="1">
    <w:p w:rsidR="006763D7" w:rsidRDefault="006763D7" w14:paraId="131444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25C3" w:rsidRDefault="00000000" w14:paraId="36E349E8" w14:textId="0A7F3DE2">
    <w:pPr>
      <w:pStyle w:val="Header"/>
    </w:pPr>
    <w:r>
      <w:rPr>
        <w:noProof/>
      </w:rPr>
      <w:pict w14:anchorId="259CC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64922" style="position:absolute;margin-left:0;margin-top:0;width:471.3pt;height:188.5pt;rotation:315;z-index:-251655168;mso-position-horizontal:center;mso-position-horizontal-relative:margin;mso-position-vertical:center;mso-position-vertical-relative:margin" o:spid="_x0000_s1029" o:allowincell="f" fillcolor="silver" stroked="f" type="#_x0000_t136">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7643" w:rsidR="00F26904" w:rsidRDefault="00000000" w14:paraId="1C26AFA2" w14:textId="5ED60852">
    <w:pPr>
      <w:pStyle w:val="Header"/>
      <w:rPr>
        <w:rFonts w:ascii="Arial" w:hAnsi="Arial" w:cs="Arial"/>
        <w:b/>
        <w:bCs/>
        <w:sz w:val="22"/>
        <w:szCs w:val="22"/>
      </w:rPr>
    </w:pPr>
    <w:r>
      <w:rPr>
        <w:b/>
        <w:bCs/>
        <w:noProof/>
        <w:sz w:val="32"/>
        <w:szCs w:val="32"/>
      </w:rPr>
      <w:pict w14:anchorId="5543D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64923" style="position:absolute;margin-left:0;margin-top:0;width:471.3pt;height:188.5pt;rotation:315;z-index:-251653120;mso-position-horizontal:center;mso-position-horizontal-relative:margin;mso-position-vertical:center;mso-position-vertical-relative:margin" o:spid="_x0000_s1030" o:allowincell="f" fillcolor="silver" stroked="f" type="#_x0000_t136">
          <v:fill opacity=".5"/>
          <v:textpath style="font-family:&quot;Arial&quot;;font-size:1pt" string="DRAFT"/>
          <w10:wrap anchorx="margin" anchory="margin"/>
        </v:shape>
      </w:pict>
    </w:r>
    <w:r w:rsidRPr="00837643" w:rsidR="00837643">
      <w:rPr>
        <w:rFonts w:ascii="Arial" w:hAnsi="Arial" w:cs="Arial"/>
        <w:b/>
        <w:bCs/>
        <w:sz w:val="22"/>
        <w:szCs w:val="22"/>
      </w:rPr>
      <w:t>California Air Quality Part 11 Model Reach Code – 2024</w:t>
    </w:r>
  </w:p>
  <w:p w:rsidRPr="00837643" w:rsidR="00837643" w:rsidP="10A27D8C" w:rsidRDefault="10A27D8C" w14:paraId="5D3DA7BB" w14:textId="6C205B60">
    <w:pPr>
      <w:pStyle w:val="Header"/>
      <w:rPr>
        <w:rFonts w:ascii="Arial" w:hAnsi="Arial" w:cs="Arial"/>
        <w:i/>
        <w:iCs/>
        <w:sz w:val="22"/>
        <w:szCs w:val="22"/>
      </w:rPr>
    </w:pPr>
    <w:r w:rsidRPr="10A27D8C">
      <w:rPr>
        <w:rFonts w:ascii="Arial" w:hAnsi="Arial" w:cs="Arial"/>
        <w:i/>
        <w:iCs/>
        <w:sz w:val="22"/>
        <w:szCs w:val="22"/>
      </w:rPr>
      <w:t>Draft 4/03/2024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25C3" w:rsidRDefault="00000000" w14:paraId="506C82ED" w14:textId="530D2301">
    <w:pPr>
      <w:pStyle w:val="Header"/>
    </w:pPr>
    <w:r>
      <w:rPr>
        <w:noProof/>
      </w:rPr>
      <w:pict w14:anchorId="3D350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64921" style="position:absolute;margin-left:0;margin-top:0;width:471.3pt;height:188.5pt;rotation:315;z-index:-251657216;mso-position-horizontal:center;mso-position-horizontal-relative:margin;mso-position-vertical:center;mso-position-vertical-relative:margin" o:spid="_x0000_s1028" o:allowincell="f" fillcolor="silver" stroked="f" type="#_x0000_t136">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3F0"/>
    <w:multiLevelType w:val="hybridMultilevel"/>
    <w:tmpl w:val="7ECAA6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B7340"/>
    <w:multiLevelType w:val="hybridMultilevel"/>
    <w:tmpl w:val="50C4FB0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417AB"/>
    <w:multiLevelType w:val="hybridMultilevel"/>
    <w:tmpl w:val="3F4E072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0851B39"/>
    <w:multiLevelType w:val="hybridMultilevel"/>
    <w:tmpl w:val="3F4E0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779D256B"/>
    <w:multiLevelType w:val="hybridMultilevel"/>
    <w:tmpl w:val="7ECAA6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61D2F"/>
    <w:multiLevelType w:val="hybridMultilevel"/>
    <w:tmpl w:val="77D6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83976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1544751">
    <w:abstractNumId w:val="5"/>
  </w:num>
  <w:num w:numId="3" w16cid:durableId="168254689">
    <w:abstractNumId w:val="6"/>
  </w:num>
  <w:num w:numId="4" w16cid:durableId="886260085">
    <w:abstractNumId w:val="3"/>
  </w:num>
  <w:num w:numId="5" w16cid:durableId="1807157973">
    <w:abstractNumId w:val="1"/>
  </w:num>
  <w:num w:numId="6" w16cid:durableId="96102833">
    <w:abstractNumId w:val="0"/>
  </w:num>
  <w:num w:numId="7" w16cid:durableId="800609948">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Taylor">
    <w15:presenceInfo w15:providerId="AD" w15:userId="S::TTaylor@trcsolutions.com::8f0d4658-8911-45fe-8cba-61f8f650b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0C5C"/>
    <w:rsid w:val="00002D92"/>
    <w:rsid w:val="00004A8B"/>
    <w:rsid w:val="00013986"/>
    <w:rsid w:val="000157FA"/>
    <w:rsid w:val="000176A1"/>
    <w:rsid w:val="00020D13"/>
    <w:rsid w:val="000235C9"/>
    <w:rsid w:val="00024227"/>
    <w:rsid w:val="0003283B"/>
    <w:rsid w:val="00042BC9"/>
    <w:rsid w:val="000430C3"/>
    <w:rsid w:val="00044DE3"/>
    <w:rsid w:val="0004703C"/>
    <w:rsid w:val="0006010C"/>
    <w:rsid w:val="00060FC1"/>
    <w:rsid w:val="00061A92"/>
    <w:rsid w:val="00061F40"/>
    <w:rsid w:val="00063DEA"/>
    <w:rsid w:val="00064A85"/>
    <w:rsid w:val="000703B4"/>
    <w:rsid w:val="000706B3"/>
    <w:rsid w:val="00070E38"/>
    <w:rsid w:val="000714AF"/>
    <w:rsid w:val="00072D0F"/>
    <w:rsid w:val="00072F95"/>
    <w:rsid w:val="00075F17"/>
    <w:rsid w:val="0007632A"/>
    <w:rsid w:val="000763C0"/>
    <w:rsid w:val="000769E7"/>
    <w:rsid w:val="00080CDB"/>
    <w:rsid w:val="00082B04"/>
    <w:rsid w:val="000838AB"/>
    <w:rsid w:val="00083C87"/>
    <w:rsid w:val="00085D45"/>
    <w:rsid w:val="00086EC2"/>
    <w:rsid w:val="00093694"/>
    <w:rsid w:val="00097CC8"/>
    <w:rsid w:val="00097F14"/>
    <w:rsid w:val="000A2AEA"/>
    <w:rsid w:val="000A2C33"/>
    <w:rsid w:val="000A5A29"/>
    <w:rsid w:val="000A73BB"/>
    <w:rsid w:val="000B195B"/>
    <w:rsid w:val="000B2237"/>
    <w:rsid w:val="000B36D0"/>
    <w:rsid w:val="000B5948"/>
    <w:rsid w:val="000C08CF"/>
    <w:rsid w:val="000C22A1"/>
    <w:rsid w:val="000C3BE1"/>
    <w:rsid w:val="000D18CF"/>
    <w:rsid w:val="000D26D6"/>
    <w:rsid w:val="000D50E2"/>
    <w:rsid w:val="000D62A3"/>
    <w:rsid w:val="000D685D"/>
    <w:rsid w:val="000D7C2C"/>
    <w:rsid w:val="000E0A29"/>
    <w:rsid w:val="000E51DC"/>
    <w:rsid w:val="000E540A"/>
    <w:rsid w:val="000E6D69"/>
    <w:rsid w:val="000F31F7"/>
    <w:rsid w:val="000F3584"/>
    <w:rsid w:val="000F7ED7"/>
    <w:rsid w:val="00106901"/>
    <w:rsid w:val="00110FFB"/>
    <w:rsid w:val="001156ED"/>
    <w:rsid w:val="00116DC2"/>
    <w:rsid w:val="00120036"/>
    <w:rsid w:val="00121E36"/>
    <w:rsid w:val="00124E58"/>
    <w:rsid w:val="001274BB"/>
    <w:rsid w:val="00131631"/>
    <w:rsid w:val="00134ADC"/>
    <w:rsid w:val="0013787B"/>
    <w:rsid w:val="00137F4D"/>
    <w:rsid w:val="001419FF"/>
    <w:rsid w:val="00142D96"/>
    <w:rsid w:val="001475C1"/>
    <w:rsid w:val="001521EE"/>
    <w:rsid w:val="001535AB"/>
    <w:rsid w:val="00154D16"/>
    <w:rsid w:val="00157DFE"/>
    <w:rsid w:val="00161953"/>
    <w:rsid w:val="00163FC3"/>
    <w:rsid w:val="001649EF"/>
    <w:rsid w:val="00165C3A"/>
    <w:rsid w:val="00166C7C"/>
    <w:rsid w:val="00167BC3"/>
    <w:rsid w:val="00170806"/>
    <w:rsid w:val="00170DA7"/>
    <w:rsid w:val="00171503"/>
    <w:rsid w:val="00171A30"/>
    <w:rsid w:val="00173537"/>
    <w:rsid w:val="0017376A"/>
    <w:rsid w:val="001759C2"/>
    <w:rsid w:val="00181A6B"/>
    <w:rsid w:val="00182D79"/>
    <w:rsid w:val="00183F27"/>
    <w:rsid w:val="0018650E"/>
    <w:rsid w:val="00193495"/>
    <w:rsid w:val="00193890"/>
    <w:rsid w:val="001A06FE"/>
    <w:rsid w:val="001A3321"/>
    <w:rsid w:val="001B2364"/>
    <w:rsid w:val="001B3478"/>
    <w:rsid w:val="001B68CD"/>
    <w:rsid w:val="001C54E7"/>
    <w:rsid w:val="001C77A3"/>
    <w:rsid w:val="001D29DD"/>
    <w:rsid w:val="001D50E2"/>
    <w:rsid w:val="001D5327"/>
    <w:rsid w:val="001D60E8"/>
    <w:rsid w:val="001D71DD"/>
    <w:rsid w:val="001E0601"/>
    <w:rsid w:val="001E2498"/>
    <w:rsid w:val="001E557C"/>
    <w:rsid w:val="001E7257"/>
    <w:rsid w:val="001F2133"/>
    <w:rsid w:val="00204B16"/>
    <w:rsid w:val="00207B79"/>
    <w:rsid w:val="00210298"/>
    <w:rsid w:val="00211AA8"/>
    <w:rsid w:val="00211D0E"/>
    <w:rsid w:val="00215E79"/>
    <w:rsid w:val="00222C88"/>
    <w:rsid w:val="00225BA1"/>
    <w:rsid w:val="00231A33"/>
    <w:rsid w:val="00231F8C"/>
    <w:rsid w:val="00234F00"/>
    <w:rsid w:val="00234F6B"/>
    <w:rsid w:val="0023625C"/>
    <w:rsid w:val="00236A22"/>
    <w:rsid w:val="00237CCF"/>
    <w:rsid w:val="00237E7A"/>
    <w:rsid w:val="002401CC"/>
    <w:rsid w:val="002427C0"/>
    <w:rsid w:val="00242BF1"/>
    <w:rsid w:val="002566B1"/>
    <w:rsid w:val="0025682E"/>
    <w:rsid w:val="00257E94"/>
    <w:rsid w:val="00262605"/>
    <w:rsid w:val="002701BC"/>
    <w:rsid w:val="00270C13"/>
    <w:rsid w:val="00270CFE"/>
    <w:rsid w:val="00272BF0"/>
    <w:rsid w:val="00273EBB"/>
    <w:rsid w:val="00274B3D"/>
    <w:rsid w:val="00274C20"/>
    <w:rsid w:val="0027582E"/>
    <w:rsid w:val="00280D90"/>
    <w:rsid w:val="00285FA6"/>
    <w:rsid w:val="00286306"/>
    <w:rsid w:val="00294384"/>
    <w:rsid w:val="00297F24"/>
    <w:rsid w:val="002A0C36"/>
    <w:rsid w:val="002A18D2"/>
    <w:rsid w:val="002A5C2D"/>
    <w:rsid w:val="002A6B82"/>
    <w:rsid w:val="002A7520"/>
    <w:rsid w:val="002B2647"/>
    <w:rsid w:val="002B39F2"/>
    <w:rsid w:val="002C0E70"/>
    <w:rsid w:val="002C16D4"/>
    <w:rsid w:val="002C3529"/>
    <w:rsid w:val="002C5BBD"/>
    <w:rsid w:val="002C7722"/>
    <w:rsid w:val="002D0DC9"/>
    <w:rsid w:val="002D60A9"/>
    <w:rsid w:val="002E249A"/>
    <w:rsid w:val="002E4CB2"/>
    <w:rsid w:val="002E7006"/>
    <w:rsid w:val="002F2B2A"/>
    <w:rsid w:val="002F3353"/>
    <w:rsid w:val="002F4C9E"/>
    <w:rsid w:val="002F58B0"/>
    <w:rsid w:val="002F7D2C"/>
    <w:rsid w:val="003007C9"/>
    <w:rsid w:val="00301385"/>
    <w:rsid w:val="00302522"/>
    <w:rsid w:val="003043B2"/>
    <w:rsid w:val="00304C76"/>
    <w:rsid w:val="00305D95"/>
    <w:rsid w:val="003078E6"/>
    <w:rsid w:val="00314823"/>
    <w:rsid w:val="00316E39"/>
    <w:rsid w:val="003213E6"/>
    <w:rsid w:val="00325783"/>
    <w:rsid w:val="00326297"/>
    <w:rsid w:val="00333634"/>
    <w:rsid w:val="003421DA"/>
    <w:rsid w:val="00344A7D"/>
    <w:rsid w:val="00350FA9"/>
    <w:rsid w:val="00352B8C"/>
    <w:rsid w:val="00353B04"/>
    <w:rsid w:val="00354BD7"/>
    <w:rsid w:val="00360838"/>
    <w:rsid w:val="00364C71"/>
    <w:rsid w:val="00365741"/>
    <w:rsid w:val="00365DDE"/>
    <w:rsid w:val="00367C13"/>
    <w:rsid w:val="00374D15"/>
    <w:rsid w:val="00377A3E"/>
    <w:rsid w:val="00383E99"/>
    <w:rsid w:val="00386285"/>
    <w:rsid w:val="00392F87"/>
    <w:rsid w:val="00393C31"/>
    <w:rsid w:val="00393CE6"/>
    <w:rsid w:val="00394CCF"/>
    <w:rsid w:val="0039751F"/>
    <w:rsid w:val="003A1097"/>
    <w:rsid w:val="003A1A98"/>
    <w:rsid w:val="003A47A9"/>
    <w:rsid w:val="003A702A"/>
    <w:rsid w:val="003A77EC"/>
    <w:rsid w:val="003B0112"/>
    <w:rsid w:val="003B35D8"/>
    <w:rsid w:val="003B38CD"/>
    <w:rsid w:val="003B6871"/>
    <w:rsid w:val="003B77CF"/>
    <w:rsid w:val="003C0AE6"/>
    <w:rsid w:val="003C1A5B"/>
    <w:rsid w:val="003C2BE7"/>
    <w:rsid w:val="003C2F22"/>
    <w:rsid w:val="003C57E8"/>
    <w:rsid w:val="003C7967"/>
    <w:rsid w:val="003C7E17"/>
    <w:rsid w:val="003D00D7"/>
    <w:rsid w:val="003D070E"/>
    <w:rsid w:val="003D1D53"/>
    <w:rsid w:val="003D2089"/>
    <w:rsid w:val="003D33BE"/>
    <w:rsid w:val="003D4C47"/>
    <w:rsid w:val="003D68A9"/>
    <w:rsid w:val="003D698D"/>
    <w:rsid w:val="003E1847"/>
    <w:rsid w:val="003E4082"/>
    <w:rsid w:val="003E6416"/>
    <w:rsid w:val="003E76BE"/>
    <w:rsid w:val="003E780F"/>
    <w:rsid w:val="003F1C21"/>
    <w:rsid w:val="003F29A5"/>
    <w:rsid w:val="003F4219"/>
    <w:rsid w:val="003F4813"/>
    <w:rsid w:val="003F6C95"/>
    <w:rsid w:val="003F7157"/>
    <w:rsid w:val="003F7F4C"/>
    <w:rsid w:val="00403A15"/>
    <w:rsid w:val="004064B8"/>
    <w:rsid w:val="0040782E"/>
    <w:rsid w:val="00407BB2"/>
    <w:rsid w:val="00410CE1"/>
    <w:rsid w:val="004118B5"/>
    <w:rsid w:val="00411D28"/>
    <w:rsid w:val="00412169"/>
    <w:rsid w:val="00415F59"/>
    <w:rsid w:val="00416479"/>
    <w:rsid w:val="00417686"/>
    <w:rsid w:val="004179DC"/>
    <w:rsid w:val="00420FD0"/>
    <w:rsid w:val="00421785"/>
    <w:rsid w:val="00422FAF"/>
    <w:rsid w:val="00425E80"/>
    <w:rsid w:val="00426C62"/>
    <w:rsid w:val="0042758E"/>
    <w:rsid w:val="0042788B"/>
    <w:rsid w:val="00434347"/>
    <w:rsid w:val="00434688"/>
    <w:rsid w:val="0043547C"/>
    <w:rsid w:val="004402E5"/>
    <w:rsid w:val="00440ADA"/>
    <w:rsid w:val="00451759"/>
    <w:rsid w:val="00452902"/>
    <w:rsid w:val="00453015"/>
    <w:rsid w:val="00455FD8"/>
    <w:rsid w:val="004625BE"/>
    <w:rsid w:val="00463AE5"/>
    <w:rsid w:val="00464AA3"/>
    <w:rsid w:val="004658DA"/>
    <w:rsid w:val="00465A30"/>
    <w:rsid w:val="0047387E"/>
    <w:rsid w:val="00486C08"/>
    <w:rsid w:val="00490B5E"/>
    <w:rsid w:val="0049272F"/>
    <w:rsid w:val="004930A5"/>
    <w:rsid w:val="004964A8"/>
    <w:rsid w:val="00497DE9"/>
    <w:rsid w:val="004A2B01"/>
    <w:rsid w:val="004A6C46"/>
    <w:rsid w:val="004B0B0B"/>
    <w:rsid w:val="004B1518"/>
    <w:rsid w:val="004B38DE"/>
    <w:rsid w:val="004B3C68"/>
    <w:rsid w:val="004B6069"/>
    <w:rsid w:val="004B6C8C"/>
    <w:rsid w:val="004B77B0"/>
    <w:rsid w:val="004C1590"/>
    <w:rsid w:val="004C2184"/>
    <w:rsid w:val="004C5E56"/>
    <w:rsid w:val="004C7687"/>
    <w:rsid w:val="004C7F93"/>
    <w:rsid w:val="004D07D4"/>
    <w:rsid w:val="004D1C54"/>
    <w:rsid w:val="004D2C19"/>
    <w:rsid w:val="004D3A93"/>
    <w:rsid w:val="004D4666"/>
    <w:rsid w:val="004E5E47"/>
    <w:rsid w:val="004E624E"/>
    <w:rsid w:val="004F1057"/>
    <w:rsid w:val="004F26AF"/>
    <w:rsid w:val="004F5737"/>
    <w:rsid w:val="004F627A"/>
    <w:rsid w:val="004F65E9"/>
    <w:rsid w:val="0050629A"/>
    <w:rsid w:val="00506703"/>
    <w:rsid w:val="00507A28"/>
    <w:rsid w:val="00511673"/>
    <w:rsid w:val="005239D3"/>
    <w:rsid w:val="00523C40"/>
    <w:rsid w:val="00525C2B"/>
    <w:rsid w:val="00526D14"/>
    <w:rsid w:val="00526F7B"/>
    <w:rsid w:val="005309E0"/>
    <w:rsid w:val="00530ECF"/>
    <w:rsid w:val="005320EB"/>
    <w:rsid w:val="00533500"/>
    <w:rsid w:val="005343CE"/>
    <w:rsid w:val="00537564"/>
    <w:rsid w:val="00540F8A"/>
    <w:rsid w:val="005418AB"/>
    <w:rsid w:val="00545172"/>
    <w:rsid w:val="00552EF5"/>
    <w:rsid w:val="00557C9E"/>
    <w:rsid w:val="00560F71"/>
    <w:rsid w:val="005637C2"/>
    <w:rsid w:val="00564A9E"/>
    <w:rsid w:val="00565071"/>
    <w:rsid w:val="00565625"/>
    <w:rsid w:val="00567BF3"/>
    <w:rsid w:val="00570CF1"/>
    <w:rsid w:val="00571B0A"/>
    <w:rsid w:val="00572AE4"/>
    <w:rsid w:val="0057476D"/>
    <w:rsid w:val="00581F58"/>
    <w:rsid w:val="00587FA8"/>
    <w:rsid w:val="00587FFC"/>
    <w:rsid w:val="005902A0"/>
    <w:rsid w:val="00591BA3"/>
    <w:rsid w:val="0059244E"/>
    <w:rsid w:val="005930CF"/>
    <w:rsid w:val="00593140"/>
    <w:rsid w:val="00594097"/>
    <w:rsid w:val="00594AF1"/>
    <w:rsid w:val="00596C3D"/>
    <w:rsid w:val="00597256"/>
    <w:rsid w:val="005A00DD"/>
    <w:rsid w:val="005A263D"/>
    <w:rsid w:val="005A3B64"/>
    <w:rsid w:val="005A5A66"/>
    <w:rsid w:val="005A653C"/>
    <w:rsid w:val="005B2F2B"/>
    <w:rsid w:val="005B55B2"/>
    <w:rsid w:val="005B75F2"/>
    <w:rsid w:val="005B7A21"/>
    <w:rsid w:val="005C6FC6"/>
    <w:rsid w:val="005C79DD"/>
    <w:rsid w:val="005D7007"/>
    <w:rsid w:val="005E09D0"/>
    <w:rsid w:val="005E0E7B"/>
    <w:rsid w:val="005E1712"/>
    <w:rsid w:val="005E1A1E"/>
    <w:rsid w:val="005E6787"/>
    <w:rsid w:val="005F0DFA"/>
    <w:rsid w:val="005F323F"/>
    <w:rsid w:val="005F49DB"/>
    <w:rsid w:val="005F5407"/>
    <w:rsid w:val="005F5BB6"/>
    <w:rsid w:val="005F7E12"/>
    <w:rsid w:val="00600EC6"/>
    <w:rsid w:val="00600EED"/>
    <w:rsid w:val="006046EB"/>
    <w:rsid w:val="00605C96"/>
    <w:rsid w:val="00606446"/>
    <w:rsid w:val="0061248D"/>
    <w:rsid w:val="00615461"/>
    <w:rsid w:val="00615D0E"/>
    <w:rsid w:val="006172A2"/>
    <w:rsid w:val="0062152C"/>
    <w:rsid w:val="006258EB"/>
    <w:rsid w:val="00630013"/>
    <w:rsid w:val="0063087B"/>
    <w:rsid w:val="00631E0E"/>
    <w:rsid w:val="006326EA"/>
    <w:rsid w:val="00632BE8"/>
    <w:rsid w:val="006359F7"/>
    <w:rsid w:val="006410F3"/>
    <w:rsid w:val="00643757"/>
    <w:rsid w:val="00644619"/>
    <w:rsid w:val="006451BE"/>
    <w:rsid w:val="00645AD5"/>
    <w:rsid w:val="006520E2"/>
    <w:rsid w:val="0065266F"/>
    <w:rsid w:val="00652A8B"/>
    <w:rsid w:val="00653239"/>
    <w:rsid w:val="0065630A"/>
    <w:rsid w:val="0066135B"/>
    <w:rsid w:val="00666E43"/>
    <w:rsid w:val="006671EE"/>
    <w:rsid w:val="006716FC"/>
    <w:rsid w:val="00675C9A"/>
    <w:rsid w:val="006763D7"/>
    <w:rsid w:val="0067694E"/>
    <w:rsid w:val="00676ABE"/>
    <w:rsid w:val="00676B37"/>
    <w:rsid w:val="00676DE0"/>
    <w:rsid w:val="00677C63"/>
    <w:rsid w:val="0068060E"/>
    <w:rsid w:val="00684E0F"/>
    <w:rsid w:val="006851CA"/>
    <w:rsid w:val="006873A1"/>
    <w:rsid w:val="00687DE2"/>
    <w:rsid w:val="00691E8F"/>
    <w:rsid w:val="00693C3A"/>
    <w:rsid w:val="00695ADD"/>
    <w:rsid w:val="006A153B"/>
    <w:rsid w:val="006A3A4A"/>
    <w:rsid w:val="006A549C"/>
    <w:rsid w:val="006A7DB8"/>
    <w:rsid w:val="006B0F00"/>
    <w:rsid w:val="006B5319"/>
    <w:rsid w:val="006B53A8"/>
    <w:rsid w:val="006B5D0B"/>
    <w:rsid w:val="006B7AE6"/>
    <w:rsid w:val="006C077F"/>
    <w:rsid w:val="006C2678"/>
    <w:rsid w:val="006C2B20"/>
    <w:rsid w:val="006C353E"/>
    <w:rsid w:val="006C4655"/>
    <w:rsid w:val="006C5402"/>
    <w:rsid w:val="006C6660"/>
    <w:rsid w:val="006D4D4D"/>
    <w:rsid w:val="006D6581"/>
    <w:rsid w:val="006E0FC6"/>
    <w:rsid w:val="006E2D85"/>
    <w:rsid w:val="006E3A01"/>
    <w:rsid w:val="006E6D46"/>
    <w:rsid w:val="006E6EFA"/>
    <w:rsid w:val="006F35AF"/>
    <w:rsid w:val="006F4C92"/>
    <w:rsid w:val="006F4C9A"/>
    <w:rsid w:val="006F70A5"/>
    <w:rsid w:val="006F79C4"/>
    <w:rsid w:val="00700B7C"/>
    <w:rsid w:val="00704EF7"/>
    <w:rsid w:val="007051EC"/>
    <w:rsid w:val="0071229A"/>
    <w:rsid w:val="00712B5F"/>
    <w:rsid w:val="00713908"/>
    <w:rsid w:val="00713D51"/>
    <w:rsid w:val="00717AE9"/>
    <w:rsid w:val="00720B20"/>
    <w:rsid w:val="00721C89"/>
    <w:rsid w:val="00722549"/>
    <w:rsid w:val="007255C5"/>
    <w:rsid w:val="007262D8"/>
    <w:rsid w:val="007349D4"/>
    <w:rsid w:val="007374CE"/>
    <w:rsid w:val="0074437E"/>
    <w:rsid w:val="007453CC"/>
    <w:rsid w:val="00750361"/>
    <w:rsid w:val="00750DA5"/>
    <w:rsid w:val="00753DAB"/>
    <w:rsid w:val="00754F6B"/>
    <w:rsid w:val="0075587E"/>
    <w:rsid w:val="00760174"/>
    <w:rsid w:val="00763260"/>
    <w:rsid w:val="0076396A"/>
    <w:rsid w:val="007660F7"/>
    <w:rsid w:val="00767CE1"/>
    <w:rsid w:val="0077035E"/>
    <w:rsid w:val="00775354"/>
    <w:rsid w:val="00775904"/>
    <w:rsid w:val="007764D0"/>
    <w:rsid w:val="00782535"/>
    <w:rsid w:val="00786F1E"/>
    <w:rsid w:val="00787731"/>
    <w:rsid w:val="0079438C"/>
    <w:rsid w:val="00794DB9"/>
    <w:rsid w:val="007959F1"/>
    <w:rsid w:val="007964B0"/>
    <w:rsid w:val="0079651B"/>
    <w:rsid w:val="007A120D"/>
    <w:rsid w:val="007A3308"/>
    <w:rsid w:val="007A3F83"/>
    <w:rsid w:val="007A4E8E"/>
    <w:rsid w:val="007A7B42"/>
    <w:rsid w:val="007B1187"/>
    <w:rsid w:val="007B1FBC"/>
    <w:rsid w:val="007B2D4E"/>
    <w:rsid w:val="007B6087"/>
    <w:rsid w:val="007C0607"/>
    <w:rsid w:val="007C1055"/>
    <w:rsid w:val="007C12DB"/>
    <w:rsid w:val="007C21AE"/>
    <w:rsid w:val="007C3F09"/>
    <w:rsid w:val="007D0309"/>
    <w:rsid w:val="007D2B1F"/>
    <w:rsid w:val="007D55C9"/>
    <w:rsid w:val="007E0309"/>
    <w:rsid w:val="007E4291"/>
    <w:rsid w:val="007E43D8"/>
    <w:rsid w:val="007F0440"/>
    <w:rsid w:val="007F0B14"/>
    <w:rsid w:val="007F21F5"/>
    <w:rsid w:val="007F2357"/>
    <w:rsid w:val="007F3731"/>
    <w:rsid w:val="007F3E6E"/>
    <w:rsid w:val="007F4485"/>
    <w:rsid w:val="0080041C"/>
    <w:rsid w:val="008035A0"/>
    <w:rsid w:val="00804451"/>
    <w:rsid w:val="008045AA"/>
    <w:rsid w:val="0080598F"/>
    <w:rsid w:val="00811C29"/>
    <w:rsid w:val="00812300"/>
    <w:rsid w:val="00816E99"/>
    <w:rsid w:val="00817925"/>
    <w:rsid w:val="008205C1"/>
    <w:rsid w:val="00831444"/>
    <w:rsid w:val="00832B49"/>
    <w:rsid w:val="00835767"/>
    <w:rsid w:val="00836796"/>
    <w:rsid w:val="0083719A"/>
    <w:rsid w:val="00837643"/>
    <w:rsid w:val="00837688"/>
    <w:rsid w:val="00837E67"/>
    <w:rsid w:val="00840F90"/>
    <w:rsid w:val="00842050"/>
    <w:rsid w:val="00843953"/>
    <w:rsid w:val="0085163C"/>
    <w:rsid w:val="00856FA4"/>
    <w:rsid w:val="00863824"/>
    <w:rsid w:val="00871DCE"/>
    <w:rsid w:val="0087271C"/>
    <w:rsid w:val="008761DF"/>
    <w:rsid w:val="0087716F"/>
    <w:rsid w:val="00881BA7"/>
    <w:rsid w:val="00887265"/>
    <w:rsid w:val="00890C2B"/>
    <w:rsid w:val="008919F1"/>
    <w:rsid w:val="008929F3"/>
    <w:rsid w:val="0089635A"/>
    <w:rsid w:val="008A0260"/>
    <w:rsid w:val="008A0B16"/>
    <w:rsid w:val="008A17B2"/>
    <w:rsid w:val="008A3D01"/>
    <w:rsid w:val="008A65C9"/>
    <w:rsid w:val="008A71FC"/>
    <w:rsid w:val="008B6449"/>
    <w:rsid w:val="008C0734"/>
    <w:rsid w:val="008C1058"/>
    <w:rsid w:val="008C18B1"/>
    <w:rsid w:val="008C33F9"/>
    <w:rsid w:val="008C7B45"/>
    <w:rsid w:val="008D3624"/>
    <w:rsid w:val="008D6832"/>
    <w:rsid w:val="008D7392"/>
    <w:rsid w:val="008D7442"/>
    <w:rsid w:val="008E3404"/>
    <w:rsid w:val="008E519C"/>
    <w:rsid w:val="008E6372"/>
    <w:rsid w:val="008E69FA"/>
    <w:rsid w:val="008F5B38"/>
    <w:rsid w:val="008F6B30"/>
    <w:rsid w:val="00901785"/>
    <w:rsid w:val="00901B10"/>
    <w:rsid w:val="00902356"/>
    <w:rsid w:val="009032DA"/>
    <w:rsid w:val="00905BC5"/>
    <w:rsid w:val="009075AE"/>
    <w:rsid w:val="00911186"/>
    <w:rsid w:val="00912370"/>
    <w:rsid w:val="009132C4"/>
    <w:rsid w:val="0091498D"/>
    <w:rsid w:val="0091600C"/>
    <w:rsid w:val="00916AB0"/>
    <w:rsid w:val="0092123C"/>
    <w:rsid w:val="009241D1"/>
    <w:rsid w:val="00935487"/>
    <w:rsid w:val="00937433"/>
    <w:rsid w:val="00940719"/>
    <w:rsid w:val="00940FDC"/>
    <w:rsid w:val="00943286"/>
    <w:rsid w:val="0094340E"/>
    <w:rsid w:val="00946CCE"/>
    <w:rsid w:val="00951D83"/>
    <w:rsid w:val="0095326F"/>
    <w:rsid w:val="009542FF"/>
    <w:rsid w:val="00955121"/>
    <w:rsid w:val="00955F77"/>
    <w:rsid w:val="0096122E"/>
    <w:rsid w:val="00962B12"/>
    <w:rsid w:val="00966E09"/>
    <w:rsid w:val="00970538"/>
    <w:rsid w:val="00970B68"/>
    <w:rsid w:val="00970FB9"/>
    <w:rsid w:val="009726D7"/>
    <w:rsid w:val="00974674"/>
    <w:rsid w:val="009748E5"/>
    <w:rsid w:val="00974EBE"/>
    <w:rsid w:val="00975DCB"/>
    <w:rsid w:val="00980219"/>
    <w:rsid w:val="0098663B"/>
    <w:rsid w:val="009951EA"/>
    <w:rsid w:val="009975BC"/>
    <w:rsid w:val="009A2327"/>
    <w:rsid w:val="009A302A"/>
    <w:rsid w:val="009A6777"/>
    <w:rsid w:val="009B0C43"/>
    <w:rsid w:val="009B3244"/>
    <w:rsid w:val="009B34A1"/>
    <w:rsid w:val="009B4F34"/>
    <w:rsid w:val="009B6E37"/>
    <w:rsid w:val="009D0526"/>
    <w:rsid w:val="009D3846"/>
    <w:rsid w:val="009D792C"/>
    <w:rsid w:val="009E6231"/>
    <w:rsid w:val="009E62AE"/>
    <w:rsid w:val="009F39BA"/>
    <w:rsid w:val="009F6816"/>
    <w:rsid w:val="009F6929"/>
    <w:rsid w:val="009F6BD3"/>
    <w:rsid w:val="009F7422"/>
    <w:rsid w:val="00A019F1"/>
    <w:rsid w:val="00A027A6"/>
    <w:rsid w:val="00A02DF7"/>
    <w:rsid w:val="00A04E83"/>
    <w:rsid w:val="00A0735C"/>
    <w:rsid w:val="00A07D37"/>
    <w:rsid w:val="00A13B80"/>
    <w:rsid w:val="00A1572E"/>
    <w:rsid w:val="00A20030"/>
    <w:rsid w:val="00A26C4B"/>
    <w:rsid w:val="00A324CF"/>
    <w:rsid w:val="00A332E6"/>
    <w:rsid w:val="00A35E4A"/>
    <w:rsid w:val="00A374E0"/>
    <w:rsid w:val="00A41FD0"/>
    <w:rsid w:val="00A4272A"/>
    <w:rsid w:val="00A42B7B"/>
    <w:rsid w:val="00A43AC7"/>
    <w:rsid w:val="00A46FFA"/>
    <w:rsid w:val="00A50303"/>
    <w:rsid w:val="00A515BF"/>
    <w:rsid w:val="00A525C3"/>
    <w:rsid w:val="00A54087"/>
    <w:rsid w:val="00A552CE"/>
    <w:rsid w:val="00A574E3"/>
    <w:rsid w:val="00A60FFC"/>
    <w:rsid w:val="00A63236"/>
    <w:rsid w:val="00A72538"/>
    <w:rsid w:val="00A72FF5"/>
    <w:rsid w:val="00A75D69"/>
    <w:rsid w:val="00A76B0C"/>
    <w:rsid w:val="00A7700C"/>
    <w:rsid w:val="00A80812"/>
    <w:rsid w:val="00A857B6"/>
    <w:rsid w:val="00A870A9"/>
    <w:rsid w:val="00A91D4F"/>
    <w:rsid w:val="00A93589"/>
    <w:rsid w:val="00A97CF0"/>
    <w:rsid w:val="00AA0026"/>
    <w:rsid w:val="00AA31D6"/>
    <w:rsid w:val="00AB15E7"/>
    <w:rsid w:val="00AC221A"/>
    <w:rsid w:val="00AC3F65"/>
    <w:rsid w:val="00AC5B8B"/>
    <w:rsid w:val="00AD0C6D"/>
    <w:rsid w:val="00AD1A9F"/>
    <w:rsid w:val="00AD2E05"/>
    <w:rsid w:val="00AD586B"/>
    <w:rsid w:val="00AD748C"/>
    <w:rsid w:val="00AE1EE3"/>
    <w:rsid w:val="00AE491B"/>
    <w:rsid w:val="00AE63C1"/>
    <w:rsid w:val="00AF0897"/>
    <w:rsid w:val="00AF104B"/>
    <w:rsid w:val="00AF3821"/>
    <w:rsid w:val="00B035F0"/>
    <w:rsid w:val="00B05E7D"/>
    <w:rsid w:val="00B12542"/>
    <w:rsid w:val="00B143E4"/>
    <w:rsid w:val="00B144E7"/>
    <w:rsid w:val="00B16EC2"/>
    <w:rsid w:val="00B17728"/>
    <w:rsid w:val="00B17844"/>
    <w:rsid w:val="00B25C03"/>
    <w:rsid w:val="00B25D82"/>
    <w:rsid w:val="00B268EC"/>
    <w:rsid w:val="00B270A3"/>
    <w:rsid w:val="00B27F6A"/>
    <w:rsid w:val="00B30331"/>
    <w:rsid w:val="00B36EF5"/>
    <w:rsid w:val="00B433BB"/>
    <w:rsid w:val="00B43738"/>
    <w:rsid w:val="00B439B5"/>
    <w:rsid w:val="00B44D82"/>
    <w:rsid w:val="00B45CD7"/>
    <w:rsid w:val="00B4796E"/>
    <w:rsid w:val="00B56F58"/>
    <w:rsid w:val="00B61350"/>
    <w:rsid w:val="00B637F7"/>
    <w:rsid w:val="00B7062E"/>
    <w:rsid w:val="00B71D41"/>
    <w:rsid w:val="00B738A1"/>
    <w:rsid w:val="00B73E0C"/>
    <w:rsid w:val="00B7488A"/>
    <w:rsid w:val="00B755F7"/>
    <w:rsid w:val="00B83B19"/>
    <w:rsid w:val="00B864E0"/>
    <w:rsid w:val="00B86D97"/>
    <w:rsid w:val="00B90DB4"/>
    <w:rsid w:val="00B93907"/>
    <w:rsid w:val="00B95834"/>
    <w:rsid w:val="00B96313"/>
    <w:rsid w:val="00B97A8E"/>
    <w:rsid w:val="00BA15D6"/>
    <w:rsid w:val="00BA248D"/>
    <w:rsid w:val="00BA4E00"/>
    <w:rsid w:val="00BB3CB4"/>
    <w:rsid w:val="00BB647D"/>
    <w:rsid w:val="00BC560C"/>
    <w:rsid w:val="00BD40C0"/>
    <w:rsid w:val="00BD42DA"/>
    <w:rsid w:val="00BD57A2"/>
    <w:rsid w:val="00BD645D"/>
    <w:rsid w:val="00BD6B07"/>
    <w:rsid w:val="00BD6F97"/>
    <w:rsid w:val="00BE0FAD"/>
    <w:rsid w:val="00BE3921"/>
    <w:rsid w:val="00BE5AF2"/>
    <w:rsid w:val="00BE6028"/>
    <w:rsid w:val="00BE67F2"/>
    <w:rsid w:val="00BE6E19"/>
    <w:rsid w:val="00BF2A76"/>
    <w:rsid w:val="00BF3F4B"/>
    <w:rsid w:val="00BF4ACA"/>
    <w:rsid w:val="00BF595C"/>
    <w:rsid w:val="00BF69E7"/>
    <w:rsid w:val="00C11AA2"/>
    <w:rsid w:val="00C20026"/>
    <w:rsid w:val="00C25254"/>
    <w:rsid w:val="00C25FBC"/>
    <w:rsid w:val="00C2717A"/>
    <w:rsid w:val="00C30C34"/>
    <w:rsid w:val="00C30E4C"/>
    <w:rsid w:val="00C31D98"/>
    <w:rsid w:val="00C32FB6"/>
    <w:rsid w:val="00C41597"/>
    <w:rsid w:val="00C437C1"/>
    <w:rsid w:val="00C43B79"/>
    <w:rsid w:val="00C4481A"/>
    <w:rsid w:val="00C5285F"/>
    <w:rsid w:val="00C52A2B"/>
    <w:rsid w:val="00C53B57"/>
    <w:rsid w:val="00C56E94"/>
    <w:rsid w:val="00C61A63"/>
    <w:rsid w:val="00C61D1F"/>
    <w:rsid w:val="00C6307F"/>
    <w:rsid w:val="00C654D3"/>
    <w:rsid w:val="00C66354"/>
    <w:rsid w:val="00C7047B"/>
    <w:rsid w:val="00C7116D"/>
    <w:rsid w:val="00C726CA"/>
    <w:rsid w:val="00C80E25"/>
    <w:rsid w:val="00C86180"/>
    <w:rsid w:val="00C910F5"/>
    <w:rsid w:val="00C91539"/>
    <w:rsid w:val="00C943C4"/>
    <w:rsid w:val="00C954CF"/>
    <w:rsid w:val="00CB0E94"/>
    <w:rsid w:val="00CB3036"/>
    <w:rsid w:val="00CC438E"/>
    <w:rsid w:val="00CC694F"/>
    <w:rsid w:val="00CD4BAC"/>
    <w:rsid w:val="00CD6247"/>
    <w:rsid w:val="00CD7AED"/>
    <w:rsid w:val="00CD7EF2"/>
    <w:rsid w:val="00CE1978"/>
    <w:rsid w:val="00CE542F"/>
    <w:rsid w:val="00CF10F1"/>
    <w:rsid w:val="00D00EA1"/>
    <w:rsid w:val="00D039E7"/>
    <w:rsid w:val="00D05A55"/>
    <w:rsid w:val="00D06F6E"/>
    <w:rsid w:val="00D128FE"/>
    <w:rsid w:val="00D14782"/>
    <w:rsid w:val="00D162DB"/>
    <w:rsid w:val="00D16C9B"/>
    <w:rsid w:val="00D16EEE"/>
    <w:rsid w:val="00D21C63"/>
    <w:rsid w:val="00D2379D"/>
    <w:rsid w:val="00D276D9"/>
    <w:rsid w:val="00D27FBF"/>
    <w:rsid w:val="00D301F8"/>
    <w:rsid w:val="00D34F76"/>
    <w:rsid w:val="00D406E4"/>
    <w:rsid w:val="00D445EB"/>
    <w:rsid w:val="00D45ACE"/>
    <w:rsid w:val="00D4618F"/>
    <w:rsid w:val="00D51B75"/>
    <w:rsid w:val="00D522BE"/>
    <w:rsid w:val="00D5443D"/>
    <w:rsid w:val="00D54A00"/>
    <w:rsid w:val="00D54F24"/>
    <w:rsid w:val="00D557A2"/>
    <w:rsid w:val="00D5648D"/>
    <w:rsid w:val="00D56A9C"/>
    <w:rsid w:val="00D571C2"/>
    <w:rsid w:val="00D60D1B"/>
    <w:rsid w:val="00D64E16"/>
    <w:rsid w:val="00D64FDF"/>
    <w:rsid w:val="00D660E4"/>
    <w:rsid w:val="00D66F61"/>
    <w:rsid w:val="00D67A93"/>
    <w:rsid w:val="00D701E4"/>
    <w:rsid w:val="00D8468A"/>
    <w:rsid w:val="00D84F37"/>
    <w:rsid w:val="00D856DA"/>
    <w:rsid w:val="00D873C4"/>
    <w:rsid w:val="00D910CB"/>
    <w:rsid w:val="00D913BC"/>
    <w:rsid w:val="00D91AA8"/>
    <w:rsid w:val="00D93466"/>
    <w:rsid w:val="00D94D81"/>
    <w:rsid w:val="00D96AFD"/>
    <w:rsid w:val="00DA1B17"/>
    <w:rsid w:val="00DA24AC"/>
    <w:rsid w:val="00DA26CD"/>
    <w:rsid w:val="00DA4057"/>
    <w:rsid w:val="00DA46FF"/>
    <w:rsid w:val="00DA506D"/>
    <w:rsid w:val="00DA5903"/>
    <w:rsid w:val="00DB03AD"/>
    <w:rsid w:val="00DB4AD6"/>
    <w:rsid w:val="00DB54B2"/>
    <w:rsid w:val="00DB6EE7"/>
    <w:rsid w:val="00DB7455"/>
    <w:rsid w:val="00DC5DF8"/>
    <w:rsid w:val="00DC60FC"/>
    <w:rsid w:val="00DD2044"/>
    <w:rsid w:val="00DD296C"/>
    <w:rsid w:val="00DD4521"/>
    <w:rsid w:val="00DD57DF"/>
    <w:rsid w:val="00DD781C"/>
    <w:rsid w:val="00DD7FE3"/>
    <w:rsid w:val="00DE0B77"/>
    <w:rsid w:val="00DE1417"/>
    <w:rsid w:val="00DE5067"/>
    <w:rsid w:val="00DF168D"/>
    <w:rsid w:val="00DF36D6"/>
    <w:rsid w:val="00DF4435"/>
    <w:rsid w:val="00DF471D"/>
    <w:rsid w:val="00DF7152"/>
    <w:rsid w:val="00DF75DC"/>
    <w:rsid w:val="00E02E93"/>
    <w:rsid w:val="00E04B22"/>
    <w:rsid w:val="00E11645"/>
    <w:rsid w:val="00E14CE4"/>
    <w:rsid w:val="00E16107"/>
    <w:rsid w:val="00E206F3"/>
    <w:rsid w:val="00E2483D"/>
    <w:rsid w:val="00E24C15"/>
    <w:rsid w:val="00E31BFE"/>
    <w:rsid w:val="00E323D2"/>
    <w:rsid w:val="00E33808"/>
    <w:rsid w:val="00E343BE"/>
    <w:rsid w:val="00E35D26"/>
    <w:rsid w:val="00E37B11"/>
    <w:rsid w:val="00E414A9"/>
    <w:rsid w:val="00E4492C"/>
    <w:rsid w:val="00E4626C"/>
    <w:rsid w:val="00E46C21"/>
    <w:rsid w:val="00E51921"/>
    <w:rsid w:val="00E547CB"/>
    <w:rsid w:val="00E574EF"/>
    <w:rsid w:val="00E62690"/>
    <w:rsid w:val="00E63C87"/>
    <w:rsid w:val="00E67E69"/>
    <w:rsid w:val="00E70035"/>
    <w:rsid w:val="00E72FDF"/>
    <w:rsid w:val="00E77925"/>
    <w:rsid w:val="00E91222"/>
    <w:rsid w:val="00E91EF3"/>
    <w:rsid w:val="00E94565"/>
    <w:rsid w:val="00E95BAD"/>
    <w:rsid w:val="00EA02CC"/>
    <w:rsid w:val="00EA2F97"/>
    <w:rsid w:val="00EA5972"/>
    <w:rsid w:val="00EB16D9"/>
    <w:rsid w:val="00EB3E67"/>
    <w:rsid w:val="00EB40C5"/>
    <w:rsid w:val="00EB4A91"/>
    <w:rsid w:val="00EB4E37"/>
    <w:rsid w:val="00EB5629"/>
    <w:rsid w:val="00EB6013"/>
    <w:rsid w:val="00EC2A27"/>
    <w:rsid w:val="00EC4FDF"/>
    <w:rsid w:val="00EC5CC6"/>
    <w:rsid w:val="00ED20AD"/>
    <w:rsid w:val="00ED65BE"/>
    <w:rsid w:val="00EE305D"/>
    <w:rsid w:val="00EF48B7"/>
    <w:rsid w:val="00EF5169"/>
    <w:rsid w:val="00F001F9"/>
    <w:rsid w:val="00F00F86"/>
    <w:rsid w:val="00F014BD"/>
    <w:rsid w:val="00F019DC"/>
    <w:rsid w:val="00F0445D"/>
    <w:rsid w:val="00F05419"/>
    <w:rsid w:val="00F11CF0"/>
    <w:rsid w:val="00F12375"/>
    <w:rsid w:val="00F162FA"/>
    <w:rsid w:val="00F22DCF"/>
    <w:rsid w:val="00F2514E"/>
    <w:rsid w:val="00F26904"/>
    <w:rsid w:val="00F27E92"/>
    <w:rsid w:val="00F312B6"/>
    <w:rsid w:val="00F31B5D"/>
    <w:rsid w:val="00F334F2"/>
    <w:rsid w:val="00F3492A"/>
    <w:rsid w:val="00F349DC"/>
    <w:rsid w:val="00F34D0B"/>
    <w:rsid w:val="00F34E89"/>
    <w:rsid w:val="00F36B73"/>
    <w:rsid w:val="00F42069"/>
    <w:rsid w:val="00F44907"/>
    <w:rsid w:val="00F45756"/>
    <w:rsid w:val="00F526CA"/>
    <w:rsid w:val="00F557CA"/>
    <w:rsid w:val="00F563FA"/>
    <w:rsid w:val="00F56716"/>
    <w:rsid w:val="00F56C40"/>
    <w:rsid w:val="00F57D02"/>
    <w:rsid w:val="00F64759"/>
    <w:rsid w:val="00F66531"/>
    <w:rsid w:val="00F67B2F"/>
    <w:rsid w:val="00F71778"/>
    <w:rsid w:val="00F71B8C"/>
    <w:rsid w:val="00F7205B"/>
    <w:rsid w:val="00F7278E"/>
    <w:rsid w:val="00F749CA"/>
    <w:rsid w:val="00F76A89"/>
    <w:rsid w:val="00F773C8"/>
    <w:rsid w:val="00F77B19"/>
    <w:rsid w:val="00F816BF"/>
    <w:rsid w:val="00F82B42"/>
    <w:rsid w:val="00F837EE"/>
    <w:rsid w:val="00F850FD"/>
    <w:rsid w:val="00F85785"/>
    <w:rsid w:val="00F85788"/>
    <w:rsid w:val="00F862B0"/>
    <w:rsid w:val="00F86927"/>
    <w:rsid w:val="00F870D9"/>
    <w:rsid w:val="00F8715F"/>
    <w:rsid w:val="00F92207"/>
    <w:rsid w:val="00F952A2"/>
    <w:rsid w:val="00F96954"/>
    <w:rsid w:val="00FA222F"/>
    <w:rsid w:val="00FA4650"/>
    <w:rsid w:val="00FB1D35"/>
    <w:rsid w:val="00FB4C49"/>
    <w:rsid w:val="00FB52FB"/>
    <w:rsid w:val="00FB6193"/>
    <w:rsid w:val="00FB746D"/>
    <w:rsid w:val="00FB7760"/>
    <w:rsid w:val="00FC0823"/>
    <w:rsid w:val="00FC4128"/>
    <w:rsid w:val="00FD0134"/>
    <w:rsid w:val="00FD0D5B"/>
    <w:rsid w:val="00FD285F"/>
    <w:rsid w:val="00FD30EC"/>
    <w:rsid w:val="00FD4BE8"/>
    <w:rsid w:val="00FD5507"/>
    <w:rsid w:val="00FD64DE"/>
    <w:rsid w:val="00FE14AE"/>
    <w:rsid w:val="00FE188D"/>
    <w:rsid w:val="00FE1B74"/>
    <w:rsid w:val="00FE1BCD"/>
    <w:rsid w:val="00FE37D5"/>
    <w:rsid w:val="00FE4147"/>
    <w:rsid w:val="00FE599B"/>
    <w:rsid w:val="00FF2F3E"/>
    <w:rsid w:val="0180D555"/>
    <w:rsid w:val="0881810F"/>
    <w:rsid w:val="095380A8"/>
    <w:rsid w:val="0963AAA0"/>
    <w:rsid w:val="0DC97CBB"/>
    <w:rsid w:val="10A27D8C"/>
    <w:rsid w:val="163EA4C8"/>
    <w:rsid w:val="1ABF33D2"/>
    <w:rsid w:val="1C0710A7"/>
    <w:rsid w:val="1C28EC9F"/>
    <w:rsid w:val="1F23F065"/>
    <w:rsid w:val="2141798D"/>
    <w:rsid w:val="2BAF5ABD"/>
    <w:rsid w:val="3140F792"/>
    <w:rsid w:val="31DAC975"/>
    <w:rsid w:val="3D4297ED"/>
    <w:rsid w:val="3F978B31"/>
    <w:rsid w:val="4178EFAB"/>
    <w:rsid w:val="4B8DCA53"/>
    <w:rsid w:val="4CD5089E"/>
    <w:rsid w:val="4D0AC188"/>
    <w:rsid w:val="506639D2"/>
    <w:rsid w:val="55CD0611"/>
    <w:rsid w:val="56FFDCB9"/>
    <w:rsid w:val="578AD42F"/>
    <w:rsid w:val="57B14869"/>
    <w:rsid w:val="5A5B3847"/>
    <w:rsid w:val="61337543"/>
    <w:rsid w:val="6175531F"/>
    <w:rsid w:val="6330F6FA"/>
    <w:rsid w:val="636914AD"/>
    <w:rsid w:val="63B0D1CB"/>
    <w:rsid w:val="64443D59"/>
    <w:rsid w:val="658B9722"/>
    <w:rsid w:val="678E4719"/>
    <w:rsid w:val="6A261C08"/>
    <w:rsid w:val="6BBED1C4"/>
    <w:rsid w:val="731101C7"/>
    <w:rsid w:val="74748B8B"/>
    <w:rsid w:val="75FFDDB2"/>
    <w:rsid w:val="774A78BE"/>
    <w:rsid w:val="791CAB3C"/>
    <w:rsid w:val="79BE49CE"/>
    <w:rsid w:val="79DE4A3B"/>
    <w:rsid w:val="7FAB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16D965"/>
  <w14:defaultImageDpi w14:val="0"/>
  <w15:docId w15:val="{C089FA74-AA7F-4D07-AFAC-DFFD8315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39B5"/>
    <w:pPr>
      <w:widowControl w:val="0"/>
      <w:kinsoku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C4128"/>
    <w:pPr>
      <w:keepNext/>
      <w:keepLines/>
      <w:spacing w:before="240"/>
      <w:outlineLvl w:val="0"/>
    </w:pPr>
    <w:rPr>
      <w:rFonts w:asciiTheme="minorHAnsi" w:hAnsiTheme="minorHAnsi" w:eastAsiaTheme="majorEastAsia" w:cstheme="majorBidi"/>
      <w:b/>
      <w:szCs w:val="32"/>
      <w:u w:val="single"/>
    </w:rPr>
  </w:style>
  <w:style w:type="paragraph" w:styleId="Heading2">
    <w:name w:val="heading 2"/>
    <w:basedOn w:val="Normal"/>
    <w:next w:val="Normal"/>
    <w:link w:val="Heading2Char"/>
    <w:uiPriority w:val="9"/>
    <w:unhideWhenUsed/>
    <w:qFormat/>
    <w:rsid w:val="00FC4128"/>
    <w:pPr>
      <w:keepNext/>
      <w:spacing w:before="240" w:after="60"/>
      <w:outlineLvl w:val="1"/>
    </w:pPr>
    <w:rPr>
      <w:rFonts w:asciiTheme="minorHAnsi" w:hAnsiTheme="minorHAnsi" w:eastAsiaTheme="majorEastAsia"/>
      <w:b/>
      <w:bCs/>
      <w:iCs/>
      <w:szCs w:val="28"/>
      <w:u w:val="single"/>
    </w:rPr>
  </w:style>
  <w:style w:type="paragraph" w:styleId="Heading3">
    <w:name w:val="heading 3"/>
    <w:basedOn w:val="Normal"/>
    <w:next w:val="Normal"/>
    <w:link w:val="Heading3Char"/>
    <w:uiPriority w:val="9"/>
    <w:unhideWhenUsed/>
    <w:qFormat/>
    <w:rsid w:val="00B43738"/>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FE14AE"/>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FC4128"/>
    <w:rPr>
      <w:rFonts w:eastAsiaTheme="majorEastAsia"/>
      <w:b/>
      <w:bCs/>
      <w:iCs/>
      <w:sz w:val="24"/>
      <w:szCs w:val="28"/>
      <w:u w:val="single"/>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
      </w:numPr>
      <w:kinsoku/>
      <w:spacing w:after="120"/>
      <w:ind w:left="1800"/>
    </w:pPr>
    <w:rPr>
      <w:rFonts w:ascii="Calibri" w:hAnsi="Calibri" w:eastAsia="Calibri" w:cs="Calibri"/>
    </w:rPr>
  </w:style>
  <w:style w:type="character" w:styleId="Heading1Char" w:customStyle="1">
    <w:name w:val="Heading 1 Char"/>
    <w:basedOn w:val="DefaultParagraphFont"/>
    <w:link w:val="Heading1"/>
    <w:uiPriority w:val="9"/>
    <w:rsid w:val="00FC4128"/>
    <w:rPr>
      <w:rFonts w:eastAsiaTheme="majorEastAsia" w:cstheme="majorBidi"/>
      <w:b/>
      <w:sz w:val="24"/>
      <w:szCs w:val="32"/>
      <w:u w:val="single"/>
    </w:rPr>
  </w:style>
  <w:style w:type="character" w:styleId="Heading3Char" w:customStyle="1">
    <w:name w:val="Heading 3 Char"/>
    <w:basedOn w:val="DefaultParagraphFont"/>
    <w:link w:val="Heading3"/>
    <w:uiPriority w:val="9"/>
    <w:rsid w:val="00B43738"/>
    <w:rPr>
      <w:rFonts w:asciiTheme="majorHAnsi" w:hAnsiTheme="majorHAnsi" w:eastAsiaTheme="majorEastAsia" w:cstheme="majorBidi"/>
      <w:color w:val="1F3763" w:themeColor="accent1" w:themeShade="7F"/>
      <w:sz w:val="24"/>
      <w:szCs w:val="24"/>
    </w:rPr>
  </w:style>
  <w:style w:type="character" w:styleId="FollowedHyperlink">
    <w:name w:val="FollowedHyperlink"/>
    <w:basedOn w:val="DefaultParagraphFont"/>
    <w:uiPriority w:val="99"/>
    <w:semiHidden/>
    <w:unhideWhenUsed/>
    <w:rsid w:val="00594097"/>
    <w:rPr>
      <w:color w:val="954F72" w:themeColor="followedHyperlink"/>
      <w:u w:val="single"/>
    </w:rPr>
  </w:style>
  <w:style w:type="character" w:styleId="Heading4Char" w:customStyle="1">
    <w:name w:val="Heading 4 Char"/>
    <w:basedOn w:val="DefaultParagraphFont"/>
    <w:link w:val="Heading4"/>
    <w:uiPriority w:val="9"/>
    <w:rsid w:val="00FE14AE"/>
    <w:rPr>
      <w:rFonts w:asciiTheme="majorHAnsi" w:hAnsiTheme="majorHAnsi" w:eastAsiaTheme="majorEastAsia" w:cstheme="majorBidi"/>
      <w:i/>
      <w:iCs/>
      <w:color w:val="2F5496" w:themeColor="accent1" w:themeShade="BF"/>
      <w:sz w:val="24"/>
      <w:szCs w:val="24"/>
    </w:rPr>
  </w:style>
  <w:style w:type="paragraph" w:styleId="Revision">
    <w:name w:val="Revision"/>
    <w:hidden/>
    <w:uiPriority w:val="99"/>
    <w:semiHidden/>
    <w:rsid w:val="00BF595C"/>
    <w:pPr>
      <w:spacing w:after="0" w:line="240" w:lineRule="auto"/>
    </w:pPr>
    <w:rPr>
      <w:rFonts w:ascii="Times New Roman" w:hAnsi="Times New Roman"/>
      <w:sz w:val="24"/>
      <w:szCs w:val="24"/>
    </w:rPr>
  </w:style>
  <w:style w:type="paragraph" w:styleId="Default" w:customStyle="1">
    <w:name w:val="Default"/>
    <w:rsid w:val="00024227"/>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D16C9B"/>
    <w:pPr>
      <w:widowControl/>
      <w:kinsoku/>
      <w:spacing w:before="100" w:beforeAutospacing="1" w:after="100" w:afterAutospacing="1"/>
    </w:pPr>
    <w:rPr>
      <w:rFonts w:eastAsia="Times New Roman"/>
    </w:rPr>
  </w:style>
  <w:style w:type="character" w:styleId="eop" w:customStyle="1">
    <w:name w:val="eop"/>
    <w:basedOn w:val="DefaultParagraphFont"/>
    <w:rsid w:val="00D16C9B"/>
  </w:style>
  <w:style w:type="character" w:styleId="cf01" w:customStyle="1">
    <w:name w:val="cf01"/>
    <w:basedOn w:val="DefaultParagraphFont"/>
    <w:rsid w:val="002C0E70"/>
    <w:rPr>
      <w:rFonts w:hint="default" w:ascii="Segoe UI" w:hAnsi="Segoe UI" w:cs="Segoe UI"/>
      <w:sz w:val="18"/>
      <w:szCs w:val="18"/>
      <w:u w:val="single"/>
    </w:rPr>
  </w:style>
  <w:style w:type="character" w:styleId="findhit" w:customStyle="1">
    <w:name w:val="findhit"/>
    <w:basedOn w:val="DefaultParagraphFont"/>
    <w:rsid w:val="00412169"/>
  </w:style>
  <w:style w:type="character" w:styleId="spellingerror" w:customStyle="1">
    <w:name w:val="spellingerror"/>
    <w:basedOn w:val="DefaultParagraphFont"/>
    <w:rsid w:val="0041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378">
      <w:bodyDiv w:val="1"/>
      <w:marLeft w:val="0"/>
      <w:marRight w:val="0"/>
      <w:marTop w:val="0"/>
      <w:marBottom w:val="0"/>
      <w:divBdr>
        <w:top w:val="none" w:sz="0" w:space="0" w:color="auto"/>
        <w:left w:val="none" w:sz="0" w:space="0" w:color="auto"/>
        <w:bottom w:val="none" w:sz="0" w:space="0" w:color="auto"/>
        <w:right w:val="none" w:sz="0" w:space="0" w:color="auto"/>
      </w:divBdr>
    </w:div>
    <w:div w:id="763766294">
      <w:bodyDiv w:val="1"/>
      <w:marLeft w:val="0"/>
      <w:marRight w:val="0"/>
      <w:marTop w:val="0"/>
      <w:marBottom w:val="0"/>
      <w:divBdr>
        <w:top w:val="none" w:sz="0" w:space="0" w:color="auto"/>
        <w:left w:val="none" w:sz="0" w:space="0" w:color="auto"/>
        <w:bottom w:val="none" w:sz="0" w:space="0" w:color="auto"/>
        <w:right w:val="none" w:sz="0" w:space="0" w:color="auto"/>
      </w:divBdr>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 w:id="21032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glossaryDocument" Target="glossary/document.xml" Id="R1f751e473b8d47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632f1c-6efc-47e8-8645-d6046691f0d4}"/>
      </w:docPartPr>
      <w:docPartBody>
        <w:p w14:paraId="3C38C9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07dc9e49-d90e-46cd-8790-3ae28d568790">
      <Terms xmlns="http://schemas.microsoft.com/office/infopath/2007/PartnerControls"/>
    </lcf76f155ced4ddcb4097134ff3c332f>
    <TaxCatchAll xmlns="f08ec9a6-b51a-4c00-ad15-c2c879b888f0" xsi:nil="true"/>
    <SharedWithUsers xmlns="879a6e62-23c8-4734-be89-b1a1dd95b2e1">
      <UserInfo>
        <DisplayName>Farahmand, Farhad</DisplayName>
        <AccountId>40</AccountId>
        <AccountType/>
      </UserInfo>
      <UserInfo>
        <DisplayName>Taylor, Taylor</DisplayName>
        <AccountId>22947</AccountId>
        <AccountType/>
      </UserInfo>
      <UserInfo>
        <DisplayName>Gupta, Rohan</DisplayName>
        <AccountId>12931</AccountId>
        <AccountType/>
      </UserInfo>
      <UserInfo>
        <DisplayName>Mensalvas, Tim</DisplayName>
        <AccountId>11817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9e0def4f9f1d5abe731a84cea177f92b">
  <xsd:schema xmlns:xsd="http://www.w3.org/2001/XMLSchema" xmlns:xs="http://www.w3.org/2001/XMLSchema" xmlns:p="http://schemas.microsoft.com/office/2006/metadata/properties" xmlns:ns1="http://schemas.microsoft.com/sharepoint/v3" xmlns:ns2="07dc9e49-d90e-46cd-8790-3ae28d568790" xmlns:ns3="879a6e62-23c8-4734-be89-b1a1dd95b2e1" xmlns:ns4="f08ec9a6-b51a-4c00-ad15-c2c879b888f0" targetNamespace="http://schemas.microsoft.com/office/2006/metadata/properties" ma:root="true" ma:fieldsID="08512e64e873cf6d3385537ed10d5fc8" ns1:_="" ns2:_="" ns3:_="" ns4:_="">
    <xsd:import namespace="http://schemas.microsoft.com/sharepoint/v3"/>
    <xsd:import namespace="07dc9e49-d90e-46cd-8790-3ae28d568790"/>
    <xsd:import namespace="879a6e62-23c8-4734-be89-b1a1dd95b2e1"/>
    <xsd:import namespace="f08ec9a6-b51a-4c00-ad15-c2c879b888f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030b31-b262-4dfa-bb64-35cfdf7b07c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ec9a6-b51a-4c00-ad15-c2c879b888f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1cbb372-83b4-4975-ae2a-fd32a66bfecb}" ma:internalName="TaxCatchAll" ma:showField="CatchAllData" ma:web="f08ec9a6-b51a-4c00-ad15-c2c879b88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2.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 ds:uri="07dc9e49-d90e-46cd-8790-3ae28d568790"/>
    <ds:schemaRef ds:uri="f08ec9a6-b51a-4c00-ad15-c2c879b888f0"/>
    <ds:schemaRef ds:uri="879a6e62-23c8-4734-be89-b1a1dd95b2e1"/>
  </ds:schemaRefs>
</ds:datastoreItem>
</file>

<file path=customXml/itemProps3.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customXml/itemProps4.xml><?xml version="1.0" encoding="utf-8"?>
<ds:datastoreItem xmlns:ds="http://schemas.openxmlformats.org/officeDocument/2006/customXml" ds:itemID="{5EB4A3A4-5900-4ED0-AC58-0C749BF57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f08ec9a6-b51a-4c00-ad15-c2c879b8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Taylor, Taylor</lastModifiedBy>
  <revision>11</revision>
  <dcterms:created xsi:type="dcterms:W3CDTF">2024-04-03T20:35:00.0000000Z</dcterms:created>
  <dcterms:modified xsi:type="dcterms:W3CDTF">2024-04-16T21:19:03.2535233Z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MediaServiceImageTags">
    <vt:lpwstr/>
  </property>
</Properties>
</file>