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E3CC7" w14:textId="77777777" w:rsidR="00371426" w:rsidRDefault="00371426" w:rsidP="008317E9">
      <w:pPr>
        <w:tabs>
          <w:tab w:val="left" w:pos="1440"/>
        </w:tabs>
        <w:rPr>
          <w:b/>
        </w:rPr>
      </w:pPr>
    </w:p>
    <w:p w14:paraId="7AEC8830" w14:textId="243FFCF6" w:rsidR="00EC0476" w:rsidRDefault="00EC0476" w:rsidP="00EC0476">
      <w:pPr>
        <w:tabs>
          <w:tab w:val="left" w:pos="1440"/>
        </w:tabs>
      </w:pPr>
      <w:r>
        <w:rPr>
          <w:b/>
        </w:rPr>
        <w:t>DATE</w:t>
      </w:r>
      <w:r w:rsidRPr="0083467B">
        <w:rPr>
          <w:b/>
        </w:rPr>
        <w:t>:</w:t>
      </w:r>
      <w:r w:rsidRPr="0083467B">
        <w:rPr>
          <w:b/>
        </w:rPr>
        <w:tab/>
      </w:r>
      <w:r>
        <w:rPr>
          <w:b/>
        </w:rPr>
        <w:tab/>
      </w:r>
      <w:r w:rsidR="00E4623F">
        <w:rPr>
          <w:highlight w:val="lightGray"/>
        </w:rPr>
        <w:t>[</w:t>
      </w:r>
      <w:r w:rsidR="005B0358">
        <w:rPr>
          <w:highlight w:val="lightGray"/>
        </w:rPr>
        <w:t>July</w:t>
      </w:r>
      <w:r w:rsidR="00E4623F" w:rsidRPr="00453615">
        <w:rPr>
          <w:highlight w:val="lightGray"/>
        </w:rPr>
        <w:t xml:space="preserve"> </w:t>
      </w:r>
      <w:r w:rsidR="005B0358">
        <w:rPr>
          <w:highlight w:val="lightGray"/>
        </w:rPr>
        <w:t>9</w:t>
      </w:r>
      <w:r w:rsidR="00E4623F" w:rsidRPr="00453615">
        <w:rPr>
          <w:highlight w:val="lightGray"/>
        </w:rPr>
        <w:t>, 202</w:t>
      </w:r>
      <w:r w:rsidR="00E4623F">
        <w:rPr>
          <w:highlight w:val="lightGray"/>
        </w:rPr>
        <w:t>4</w:t>
      </w:r>
      <w:r w:rsidR="00E4623F" w:rsidRPr="00E4623F">
        <w:rPr>
          <w:shd w:val="clear" w:color="auto" w:fill="D9D9D9" w:themeFill="background1" w:themeFillShade="D9"/>
        </w:rPr>
        <w:t>]</w:t>
      </w:r>
    </w:p>
    <w:p w14:paraId="71D069ED" w14:textId="77777777" w:rsidR="00EC0476" w:rsidRDefault="00EC0476" w:rsidP="008317E9">
      <w:pPr>
        <w:tabs>
          <w:tab w:val="left" w:pos="1440"/>
        </w:tabs>
        <w:rPr>
          <w:b/>
        </w:rPr>
      </w:pPr>
    </w:p>
    <w:p w14:paraId="1126ECA9" w14:textId="2C530762" w:rsidR="008317E9" w:rsidRDefault="008317E9" w:rsidP="008317E9">
      <w:pPr>
        <w:tabs>
          <w:tab w:val="left" w:pos="1440"/>
        </w:tabs>
      </w:pPr>
      <w:r w:rsidRPr="0083467B">
        <w:rPr>
          <w:b/>
        </w:rPr>
        <w:t>TO:</w:t>
      </w:r>
      <w:r w:rsidRPr="0083467B">
        <w:rPr>
          <w:b/>
        </w:rPr>
        <w:tab/>
      </w:r>
      <w:r w:rsidR="00723F5C">
        <w:rPr>
          <w:b/>
        </w:rPr>
        <w:tab/>
      </w:r>
      <w:r w:rsidR="00B166D4" w:rsidRPr="00C74C92">
        <w:rPr>
          <w:shd w:val="clear" w:color="auto" w:fill="D9D9D9" w:themeFill="background1" w:themeFillShade="D9"/>
        </w:rPr>
        <w:t>[Honorable Mayor and Members of the City Council]</w:t>
      </w:r>
    </w:p>
    <w:p w14:paraId="2CB390CC" w14:textId="77777777" w:rsidR="00723F5C" w:rsidRDefault="00723F5C" w:rsidP="008317E9">
      <w:pPr>
        <w:tabs>
          <w:tab w:val="left" w:pos="1440"/>
        </w:tabs>
      </w:pPr>
    </w:p>
    <w:p w14:paraId="65854CFB" w14:textId="04FAA80D" w:rsidR="008317E9" w:rsidRPr="0083467B" w:rsidRDefault="00723F5C" w:rsidP="64F23A01">
      <w:pPr>
        <w:tabs>
          <w:tab w:val="left" w:pos="1440"/>
        </w:tabs>
        <w:spacing w:after="160"/>
        <w:contextualSpacing/>
        <w:jc w:val="both"/>
        <w:rPr>
          <w:rFonts w:eastAsia="Arial"/>
        </w:rPr>
      </w:pPr>
      <w:r w:rsidRPr="64F23A01">
        <w:rPr>
          <w:b/>
          <w:bCs/>
        </w:rPr>
        <w:t>SUBMITTED BY</w:t>
      </w:r>
      <w:r w:rsidR="008317E9" w:rsidRPr="64F23A01">
        <w:rPr>
          <w:b/>
          <w:bCs/>
        </w:rPr>
        <w:t>:</w:t>
      </w:r>
      <w:r>
        <w:tab/>
      </w:r>
      <w:r w:rsidR="002D12C2" w:rsidRPr="002D12C2">
        <w:rPr>
          <w:rFonts w:eastAsia="Arial"/>
          <w:color w:val="000000" w:themeColor="text1"/>
          <w:shd w:val="clear" w:color="auto" w:fill="D9D9D9" w:themeFill="background1" w:themeFillShade="D9"/>
        </w:rPr>
        <w:t>[Name</w:t>
      </w:r>
      <w:r w:rsidR="002D12C2">
        <w:rPr>
          <w:rFonts w:eastAsia="Arial"/>
          <w:color w:val="000000" w:themeColor="text1"/>
          <w:shd w:val="clear" w:color="auto" w:fill="D9D9D9" w:themeFill="background1" w:themeFillShade="D9"/>
        </w:rPr>
        <w:t>, title</w:t>
      </w:r>
      <w:r w:rsidR="002D12C2" w:rsidRPr="002D12C2">
        <w:rPr>
          <w:rFonts w:eastAsia="Arial"/>
          <w:color w:val="000000" w:themeColor="text1"/>
          <w:shd w:val="clear" w:color="auto" w:fill="D9D9D9" w:themeFill="background1" w:themeFillShade="D9"/>
        </w:rPr>
        <w:t>]</w:t>
      </w:r>
    </w:p>
    <w:p w14:paraId="45E736C3" w14:textId="77777777" w:rsidR="008317E9" w:rsidRPr="0083467B" w:rsidRDefault="008317E9" w:rsidP="008317E9">
      <w:pPr>
        <w:tabs>
          <w:tab w:val="left" w:pos="1440"/>
        </w:tabs>
        <w:jc w:val="both"/>
      </w:pPr>
    </w:p>
    <w:p w14:paraId="5557EB15" w14:textId="444060A9" w:rsidR="002D12C2" w:rsidRDefault="00723F5C" w:rsidP="002D12C2">
      <w:pPr>
        <w:tabs>
          <w:tab w:val="left" w:pos="1440"/>
        </w:tabs>
        <w:spacing w:after="160"/>
        <w:contextualSpacing/>
        <w:jc w:val="both"/>
        <w:rPr>
          <w:rFonts w:eastAsia="Arial"/>
          <w:color w:val="000000" w:themeColor="text1"/>
          <w:shd w:val="clear" w:color="auto" w:fill="D9D9D9" w:themeFill="background1" w:themeFillShade="D9"/>
        </w:rPr>
      </w:pPr>
      <w:r w:rsidRPr="64F23A01">
        <w:rPr>
          <w:b/>
          <w:bCs/>
        </w:rPr>
        <w:t>PREPARED BY:</w:t>
      </w:r>
      <w:r>
        <w:tab/>
      </w:r>
      <w:r w:rsidR="002D12C2" w:rsidRPr="002D12C2">
        <w:rPr>
          <w:rFonts w:eastAsia="Arial"/>
          <w:color w:val="000000" w:themeColor="text1"/>
          <w:shd w:val="clear" w:color="auto" w:fill="D9D9D9" w:themeFill="background1" w:themeFillShade="D9"/>
        </w:rPr>
        <w:t>[Name</w:t>
      </w:r>
      <w:r w:rsidR="002D12C2">
        <w:rPr>
          <w:rFonts w:eastAsia="Arial"/>
          <w:color w:val="000000" w:themeColor="text1"/>
          <w:shd w:val="clear" w:color="auto" w:fill="D9D9D9" w:themeFill="background1" w:themeFillShade="D9"/>
        </w:rPr>
        <w:t>, title</w:t>
      </w:r>
      <w:r w:rsidR="002D12C2" w:rsidRPr="002D12C2">
        <w:rPr>
          <w:rFonts w:eastAsia="Arial"/>
          <w:color w:val="000000" w:themeColor="text1"/>
          <w:shd w:val="clear" w:color="auto" w:fill="D9D9D9" w:themeFill="background1" w:themeFillShade="D9"/>
        </w:rPr>
        <w:t>]</w:t>
      </w:r>
    </w:p>
    <w:p w14:paraId="19FB386F" w14:textId="005B9B0D" w:rsidR="008317E9" w:rsidRPr="00723F5C" w:rsidRDefault="00723F5C" w:rsidP="002D12C2">
      <w:pPr>
        <w:tabs>
          <w:tab w:val="left" w:pos="1440"/>
        </w:tabs>
        <w:spacing w:after="160"/>
        <w:contextualSpacing/>
        <w:jc w:val="both"/>
        <w:rPr>
          <w:b/>
        </w:rPr>
      </w:pPr>
      <w:r>
        <w:rPr>
          <w:b/>
        </w:rPr>
        <w:tab/>
      </w:r>
      <w:r w:rsidR="008317E9" w:rsidRPr="0083467B">
        <w:tab/>
      </w:r>
      <w:r w:rsidR="003439A2">
        <w:tab/>
      </w:r>
    </w:p>
    <w:p w14:paraId="78138B9B" w14:textId="5E7555B7" w:rsidR="008317E9" w:rsidRPr="0083467B" w:rsidRDefault="47394D9D" w:rsidP="00ED7C25">
      <w:pPr>
        <w:ind w:left="2160" w:hanging="2160"/>
        <w:jc w:val="both"/>
      </w:pPr>
      <w:r w:rsidRPr="23F2B8BB">
        <w:rPr>
          <w:b/>
          <w:bCs/>
        </w:rPr>
        <w:t>SUBJECT:</w:t>
      </w:r>
      <w:r w:rsidR="008317E9">
        <w:tab/>
      </w:r>
      <w:r w:rsidR="00ED7C25">
        <w:t xml:space="preserve">Ordinance Amending Chapter </w:t>
      </w:r>
      <w:r w:rsidR="002D12C2" w:rsidRPr="002D12C2">
        <w:rPr>
          <w:shd w:val="clear" w:color="auto" w:fill="D9D9D9" w:themeFill="background1" w:themeFillShade="D9"/>
        </w:rPr>
        <w:t>[XX.XX]</w:t>
      </w:r>
      <w:r w:rsidR="00ED7C25" w:rsidRPr="002D12C2">
        <w:t xml:space="preserve"> </w:t>
      </w:r>
      <w:r w:rsidR="00ED7C25">
        <w:t xml:space="preserve">of the </w:t>
      </w:r>
      <w:r w:rsidR="005C45AD" w:rsidRPr="005C45AD">
        <w:rPr>
          <w:shd w:val="clear" w:color="auto" w:fill="D9D9D9" w:themeFill="background1" w:themeFillShade="D9"/>
        </w:rPr>
        <w:t>[Jurisdiction]</w:t>
      </w:r>
      <w:r w:rsidR="00ED7C25">
        <w:t xml:space="preserve"> Municipal Code to Adopt an</w:t>
      </w:r>
      <w:r w:rsidR="4C566D31">
        <w:t xml:space="preserve"> Electric Vehicle </w:t>
      </w:r>
      <w:r w:rsidR="00732C89">
        <w:t>Reach code</w:t>
      </w:r>
      <w:r w:rsidR="4C566D31">
        <w:t xml:space="preserve"> </w:t>
      </w:r>
    </w:p>
    <w:p w14:paraId="20DFA3EF" w14:textId="77777777" w:rsidR="00FD7414" w:rsidRPr="0083467B" w:rsidRDefault="00FD7414">
      <w:pPr>
        <w:jc w:val="both"/>
        <w:rPr>
          <w:b/>
        </w:rPr>
      </w:pPr>
    </w:p>
    <w:p w14:paraId="3431E862" w14:textId="77777777" w:rsidR="00CC7F51" w:rsidRPr="00453615" w:rsidRDefault="00CC7F51" w:rsidP="00CC7F51">
      <w:pPr>
        <w:pBdr>
          <w:bottom w:val="single" w:sz="12" w:space="1" w:color="auto"/>
        </w:pBdr>
        <w:autoSpaceDE w:val="0"/>
        <w:autoSpaceDN w:val="0"/>
        <w:adjustRightInd w:val="0"/>
      </w:pPr>
    </w:p>
    <w:p w14:paraId="5BCBCADA" w14:textId="77777777" w:rsidR="00CC7F51" w:rsidRDefault="00CC7F51" w:rsidP="008317E9">
      <w:pPr>
        <w:jc w:val="both"/>
        <w:rPr>
          <w:b/>
        </w:rPr>
      </w:pPr>
    </w:p>
    <w:p w14:paraId="39FBAB17" w14:textId="5AA2DB61" w:rsidR="008317E9" w:rsidRPr="00B954C1" w:rsidRDefault="008317E9" w:rsidP="00B954C1">
      <w:pPr>
        <w:pStyle w:val="Heading1"/>
      </w:pPr>
      <w:r w:rsidRPr="00B954C1">
        <w:t>RECOMMENDATION</w:t>
      </w:r>
    </w:p>
    <w:p w14:paraId="50CA894E" w14:textId="14C34477" w:rsidR="23F2B8BB" w:rsidRDefault="00933B71" w:rsidP="00671FBB">
      <w:pPr>
        <w:jc w:val="both"/>
        <w:rPr>
          <w:rFonts w:eastAsia="Arial"/>
        </w:rPr>
      </w:pPr>
      <w:r w:rsidRPr="00933B71">
        <w:rPr>
          <w:rFonts w:eastAsia="Arial"/>
        </w:rPr>
        <w:t>Introduce and conduct the first reading by title only, waiving further reading of Ordinance No. 24-__ entitled</w:t>
      </w:r>
      <w:r w:rsidR="00671FBB">
        <w:rPr>
          <w:rFonts w:eastAsia="Arial"/>
        </w:rPr>
        <w:t xml:space="preserve"> </w:t>
      </w:r>
      <w:r w:rsidR="00671FBB" w:rsidRPr="004E181E">
        <w:rPr>
          <w:rFonts w:eastAsia="Arial"/>
          <w:color w:val="000000" w:themeColor="text1"/>
          <w:shd w:val="clear" w:color="auto" w:fill="D9D9D9" w:themeFill="background1" w:themeFillShade="D9"/>
        </w:rPr>
        <w:t>[</w:t>
      </w:r>
      <w:r w:rsidR="00671FBB">
        <w:rPr>
          <w:rFonts w:eastAsia="Arial"/>
          <w:color w:val="000000" w:themeColor="text1"/>
          <w:shd w:val="clear" w:color="auto" w:fill="D9D9D9" w:themeFill="background1" w:themeFillShade="D9"/>
        </w:rPr>
        <w:t>Ordinance title].</w:t>
      </w:r>
    </w:p>
    <w:p w14:paraId="6F88FA8B" w14:textId="77777777" w:rsidR="00CC7F51" w:rsidRPr="00453615" w:rsidRDefault="00CC7F51" w:rsidP="00CC7F51">
      <w:pPr>
        <w:pBdr>
          <w:bottom w:val="single" w:sz="12" w:space="1" w:color="auto"/>
        </w:pBdr>
        <w:autoSpaceDE w:val="0"/>
        <w:autoSpaceDN w:val="0"/>
        <w:adjustRightInd w:val="0"/>
      </w:pPr>
    </w:p>
    <w:p w14:paraId="7500867A" w14:textId="77777777" w:rsidR="00CC7F51" w:rsidRPr="00453615" w:rsidRDefault="00CC7F51" w:rsidP="00CC7F51">
      <w:pPr>
        <w:autoSpaceDE w:val="0"/>
        <w:autoSpaceDN w:val="0"/>
        <w:adjustRightInd w:val="0"/>
      </w:pPr>
    </w:p>
    <w:p w14:paraId="418D4C2A" w14:textId="19AE035A" w:rsidR="008847BB" w:rsidRPr="008847BB" w:rsidRDefault="008317E9" w:rsidP="00453FD4">
      <w:pPr>
        <w:pStyle w:val="Heading1"/>
      </w:pPr>
      <w:r w:rsidRPr="0083467B">
        <w:t>BACKGROUND</w:t>
      </w:r>
    </w:p>
    <w:p w14:paraId="25D09213" w14:textId="63BC1F86" w:rsidR="003B6F27" w:rsidRDefault="003B6F27" w:rsidP="008847BB">
      <w:pPr>
        <w:pStyle w:val="Heading2"/>
      </w:pPr>
      <w:r>
        <w:t>Policy Context</w:t>
      </w:r>
    </w:p>
    <w:p w14:paraId="7E966800" w14:textId="77777777" w:rsidR="005469FE" w:rsidRPr="005469FE" w:rsidRDefault="005469FE" w:rsidP="005469FE">
      <w:pPr>
        <w:rPr>
          <w:rFonts w:eastAsia="Arial"/>
        </w:rPr>
      </w:pPr>
    </w:p>
    <w:p w14:paraId="6B688AED" w14:textId="75BF7C84" w:rsidR="65631563" w:rsidRDefault="009D45DF" w:rsidP="003C4C34">
      <w:pPr>
        <w:contextualSpacing/>
        <w:jc w:val="both"/>
        <w:rPr>
          <w:rFonts w:eastAsia="Arial"/>
          <w:color w:val="000000" w:themeColor="text1"/>
        </w:rPr>
      </w:pPr>
      <w:r w:rsidRPr="004E181E">
        <w:rPr>
          <w:rFonts w:eastAsia="Arial"/>
          <w:color w:val="000000" w:themeColor="text1"/>
          <w:shd w:val="clear" w:color="auto" w:fill="D9D9D9" w:themeFill="background1" w:themeFillShade="D9"/>
        </w:rPr>
        <w:t>[</w:t>
      </w:r>
      <w:r>
        <w:rPr>
          <w:rFonts w:eastAsia="Arial"/>
          <w:color w:val="000000" w:themeColor="text1"/>
          <w:shd w:val="clear" w:color="auto" w:fill="D9D9D9" w:themeFill="background1" w:themeFillShade="D9"/>
        </w:rPr>
        <w:t>E</w:t>
      </w:r>
      <w:r w:rsidRPr="004E181E">
        <w:rPr>
          <w:rFonts w:eastAsia="Arial"/>
          <w:color w:val="000000" w:themeColor="text1"/>
          <w:shd w:val="clear" w:color="auto" w:fill="D9D9D9" w:themeFill="background1" w:themeFillShade="D9"/>
        </w:rPr>
        <w:t>xample</w:t>
      </w:r>
      <w:r>
        <w:rPr>
          <w:rFonts w:eastAsia="Arial"/>
          <w:color w:val="000000" w:themeColor="text1"/>
          <w:shd w:val="clear" w:color="auto" w:fill="D9D9D9" w:themeFill="background1" w:themeFillShade="D9"/>
        </w:rPr>
        <w:t>s</w:t>
      </w:r>
      <w:r w:rsidRPr="004E181E">
        <w:rPr>
          <w:rFonts w:eastAsia="Arial"/>
          <w:color w:val="000000" w:themeColor="text1"/>
          <w:shd w:val="clear" w:color="auto" w:fill="D9D9D9" w:themeFill="background1" w:themeFillShade="D9"/>
        </w:rPr>
        <w:t xml:space="preserve">: </w:t>
      </w:r>
      <w:r>
        <w:rPr>
          <w:rFonts w:eastAsia="Arial"/>
          <w:color w:val="000000" w:themeColor="text1"/>
          <w:shd w:val="clear" w:color="auto" w:fill="D9D9D9" w:themeFill="background1" w:themeFillShade="D9"/>
        </w:rPr>
        <w:t xml:space="preserve">City’s goals, </w:t>
      </w:r>
      <w:r w:rsidRPr="004E181E">
        <w:rPr>
          <w:rFonts w:eastAsia="Arial"/>
          <w:color w:val="000000" w:themeColor="text1"/>
          <w:shd w:val="clear" w:color="auto" w:fill="D9D9D9" w:themeFill="background1" w:themeFillShade="D9"/>
        </w:rPr>
        <w:t>City’s budget priorities</w:t>
      </w:r>
      <w:r>
        <w:rPr>
          <w:rFonts w:eastAsia="Arial"/>
          <w:color w:val="000000" w:themeColor="text1"/>
          <w:shd w:val="clear" w:color="auto" w:fill="D9D9D9" w:themeFill="background1" w:themeFillShade="D9"/>
        </w:rPr>
        <w:t>, City’s</w:t>
      </w:r>
      <w:r w:rsidRPr="004E181E">
        <w:rPr>
          <w:rFonts w:eastAsia="Arial"/>
          <w:color w:val="000000" w:themeColor="text1"/>
          <w:shd w:val="clear" w:color="auto" w:fill="D9D9D9" w:themeFill="background1" w:themeFillShade="D9"/>
        </w:rPr>
        <w:t xml:space="preserve"> Strategic Plan]</w:t>
      </w:r>
      <w:r w:rsidRPr="0075709D">
        <w:rPr>
          <w:rFonts w:eastAsia="Arial"/>
          <w:color w:val="000000" w:themeColor="text1"/>
        </w:rPr>
        <w:t xml:space="preserve"> identifies </w:t>
      </w:r>
      <w:r w:rsidR="005C1448" w:rsidRPr="0075709D">
        <w:rPr>
          <w:rFonts w:eastAsia="Arial"/>
          <w:color w:val="000000" w:themeColor="text1"/>
        </w:rPr>
        <w:t xml:space="preserve">the need to </w:t>
      </w:r>
      <w:r w:rsidR="0066285B" w:rsidRPr="0075709D">
        <w:rPr>
          <w:rFonts w:eastAsia="Arial"/>
          <w:color w:val="000000" w:themeColor="text1"/>
        </w:rPr>
        <w:t xml:space="preserve">accelerate </w:t>
      </w:r>
      <w:r w:rsidR="65631563" w:rsidRPr="0075709D">
        <w:rPr>
          <w:rFonts w:eastAsia="Arial"/>
          <w:color w:val="000000" w:themeColor="text1"/>
        </w:rPr>
        <w:t>the</w:t>
      </w:r>
      <w:r w:rsidR="65631563" w:rsidRPr="23F2B8BB">
        <w:rPr>
          <w:rFonts w:eastAsia="Arial"/>
          <w:color w:val="000000" w:themeColor="text1"/>
        </w:rPr>
        <w:t xml:space="preserve"> development and installation of E</w:t>
      </w:r>
      <w:r w:rsidR="52A7BF50" w:rsidRPr="23F2B8BB">
        <w:rPr>
          <w:rFonts w:eastAsia="Arial"/>
          <w:color w:val="000000" w:themeColor="text1"/>
        </w:rPr>
        <w:t xml:space="preserve">lectric </w:t>
      </w:r>
      <w:r w:rsidR="65631563" w:rsidRPr="23F2B8BB">
        <w:rPr>
          <w:rFonts w:eastAsia="Arial"/>
          <w:color w:val="000000" w:themeColor="text1"/>
        </w:rPr>
        <w:t>V</w:t>
      </w:r>
      <w:r w:rsidR="719CEA84" w:rsidRPr="23F2B8BB">
        <w:rPr>
          <w:rFonts w:eastAsia="Arial"/>
          <w:color w:val="000000" w:themeColor="text1"/>
        </w:rPr>
        <w:t>ehicle (EV)</w:t>
      </w:r>
      <w:r w:rsidR="65631563" w:rsidRPr="23F2B8BB">
        <w:rPr>
          <w:rFonts w:eastAsia="Arial"/>
          <w:color w:val="000000" w:themeColor="text1"/>
        </w:rPr>
        <w:t xml:space="preserve"> charging infrastructure as a means of supporting environmental vitality and the City’s transition to a clean energy future.</w:t>
      </w:r>
    </w:p>
    <w:p w14:paraId="121F9B9D" w14:textId="77777777" w:rsidR="003C4C34" w:rsidRDefault="003C4C34" w:rsidP="003C4C34">
      <w:pPr>
        <w:contextualSpacing/>
        <w:jc w:val="both"/>
        <w:rPr>
          <w:rFonts w:eastAsia="Arial"/>
          <w:color w:val="000000" w:themeColor="text1"/>
        </w:rPr>
      </w:pPr>
    </w:p>
    <w:p w14:paraId="1F4AFB30" w14:textId="36208B88" w:rsidR="65631563" w:rsidRDefault="65631563" w:rsidP="23F2B8BB">
      <w:pPr>
        <w:contextualSpacing/>
        <w:jc w:val="both"/>
        <w:rPr>
          <w:rFonts w:eastAsia="Arial"/>
          <w:color w:val="000000" w:themeColor="text1"/>
        </w:rPr>
      </w:pPr>
      <w:r w:rsidRPr="23F2B8BB">
        <w:rPr>
          <w:rFonts w:eastAsia="Arial"/>
          <w:color w:val="000000" w:themeColor="text1"/>
        </w:rPr>
        <w:t xml:space="preserve">In September 2020, Governor Newsom issued an Executive Order requiring sales of all new passenger vehicles to be zero-emission by 2035 and additional measures to eliminate harmful emissions from the transportation sector. The Executive Order directs the California Air Resources Board (CARB), California Energy Commission (CEC), California Public Utilities Commission, other State agencies, and local agencies to accelerate deployment of affordable fueling and charging options for zero-emission vehicles (ZEVs) in ways that serve all communities, and specifically low-income and disadvantaged communities. </w:t>
      </w:r>
    </w:p>
    <w:p w14:paraId="0F4177D1" w14:textId="6A0BCDE3" w:rsidR="64F23A01" w:rsidRDefault="64F23A01" w:rsidP="64F23A01">
      <w:pPr>
        <w:contextualSpacing/>
        <w:jc w:val="both"/>
        <w:rPr>
          <w:rFonts w:eastAsia="Arial"/>
          <w:color w:val="000000" w:themeColor="text1"/>
        </w:rPr>
      </w:pPr>
    </w:p>
    <w:p w14:paraId="7EBCB7C4" w14:textId="4F101209" w:rsidR="64F23A01" w:rsidRDefault="65631563" w:rsidP="00B01848">
      <w:pPr>
        <w:contextualSpacing/>
        <w:jc w:val="both"/>
        <w:rPr>
          <w:rFonts w:eastAsia="Arial"/>
        </w:rPr>
      </w:pPr>
      <w:r w:rsidRPr="23F2B8BB">
        <w:rPr>
          <w:rFonts w:eastAsia="Arial"/>
          <w:color w:val="000000" w:themeColor="text1"/>
        </w:rPr>
        <w:t xml:space="preserve">Transportation accounts for </w:t>
      </w:r>
      <w:r w:rsidR="00AE1362">
        <w:rPr>
          <w:rFonts w:eastAsia="Arial"/>
          <w:color w:val="000000" w:themeColor="text1"/>
        </w:rPr>
        <w:t>nearly 40</w:t>
      </w:r>
      <w:r w:rsidR="00200246">
        <w:rPr>
          <w:rFonts w:eastAsia="Arial"/>
          <w:color w:val="000000" w:themeColor="text1"/>
        </w:rPr>
        <w:t>%</w:t>
      </w:r>
      <w:r w:rsidR="00AE1362">
        <w:rPr>
          <w:rFonts w:eastAsia="Arial"/>
          <w:color w:val="000000" w:themeColor="text1"/>
        </w:rPr>
        <w:t xml:space="preserve"> </w:t>
      </w:r>
      <w:r w:rsidRPr="23F2B8BB">
        <w:rPr>
          <w:rFonts w:eastAsia="Arial"/>
          <w:color w:val="000000" w:themeColor="text1"/>
        </w:rPr>
        <w:t xml:space="preserve">of the greenhouse gas (GHG) emissions in </w:t>
      </w:r>
      <w:r w:rsidR="008821A7">
        <w:rPr>
          <w:rFonts w:eastAsia="Arial"/>
          <w:color w:val="000000" w:themeColor="text1"/>
        </w:rPr>
        <w:t xml:space="preserve">California as of 2021 </w:t>
      </w:r>
      <w:r w:rsidR="008821A7" w:rsidRPr="0089330D">
        <w:rPr>
          <w:rFonts w:eastAsia="Arial"/>
          <w:color w:val="000000" w:themeColor="text1"/>
          <w:shd w:val="clear" w:color="auto" w:fill="D9D9D9" w:themeFill="background1" w:themeFillShade="D9"/>
        </w:rPr>
        <w:t>[Update with local data if availa</w:t>
      </w:r>
      <w:r w:rsidR="00D01304" w:rsidRPr="0089330D">
        <w:rPr>
          <w:rFonts w:eastAsia="Arial"/>
          <w:color w:val="000000" w:themeColor="text1"/>
          <w:shd w:val="clear" w:color="auto" w:fill="D9D9D9" w:themeFill="background1" w:themeFillShade="D9"/>
        </w:rPr>
        <w:t>bl</w:t>
      </w:r>
      <w:r w:rsidR="003122F5">
        <w:rPr>
          <w:rFonts w:eastAsia="Arial"/>
          <w:color w:val="000000" w:themeColor="text1"/>
          <w:shd w:val="clear" w:color="auto" w:fill="D9D9D9" w:themeFill="background1" w:themeFillShade="D9"/>
        </w:rPr>
        <w:t>e]</w:t>
      </w:r>
      <w:r w:rsidRPr="23F2B8BB">
        <w:rPr>
          <w:rFonts w:eastAsia="Arial"/>
          <w:color w:val="000000" w:themeColor="text1"/>
        </w:rPr>
        <w:t xml:space="preserve">. One of the key strategies to reduce emissions and meet the ambitious climate goals of the State is encouraging the use of EVs and expanding EV charging infrastructure. The most common barrier to </w:t>
      </w:r>
      <w:r w:rsidR="00932BED">
        <w:rPr>
          <w:rFonts w:eastAsia="Arial"/>
          <w:color w:val="000000" w:themeColor="text1"/>
        </w:rPr>
        <w:t>adopting</w:t>
      </w:r>
      <w:r w:rsidRPr="23F2B8BB">
        <w:rPr>
          <w:rFonts w:eastAsia="Arial"/>
          <w:color w:val="000000" w:themeColor="text1"/>
        </w:rPr>
        <w:t xml:space="preserve"> an EV, especially for residents of multifamily buildings, is the lack of access to </w:t>
      </w:r>
      <w:r w:rsidRPr="23F2B8BB">
        <w:rPr>
          <w:rFonts w:eastAsia="Arial"/>
          <w:color w:val="000000" w:themeColor="text1"/>
        </w:rPr>
        <w:lastRenderedPageBreak/>
        <w:t xml:space="preserve">reliable charging at the home or workplace. Requiring EV charging infrastructure in new buildings is a </w:t>
      </w:r>
      <w:r w:rsidR="00847F3A">
        <w:rPr>
          <w:rFonts w:eastAsia="Arial"/>
          <w:color w:val="000000" w:themeColor="text1"/>
        </w:rPr>
        <w:t>fundamental</w:t>
      </w:r>
      <w:r w:rsidR="00847F3A" w:rsidRPr="23F2B8BB">
        <w:rPr>
          <w:rFonts w:eastAsia="Arial"/>
          <w:color w:val="000000" w:themeColor="text1"/>
        </w:rPr>
        <w:t xml:space="preserve"> </w:t>
      </w:r>
      <w:r w:rsidRPr="23F2B8BB">
        <w:rPr>
          <w:rFonts w:eastAsia="Arial"/>
          <w:color w:val="000000" w:themeColor="text1"/>
        </w:rPr>
        <w:t xml:space="preserve">way to support the transition to EVs and is significantly less expensive than future </w:t>
      </w:r>
      <w:r w:rsidRPr="001E4360">
        <w:rPr>
          <w:rFonts w:eastAsia="Arial"/>
        </w:rPr>
        <w:t>retrofits to add EV charging.</w:t>
      </w:r>
    </w:p>
    <w:p w14:paraId="6F48E398" w14:textId="77777777" w:rsidR="003B6F27" w:rsidRPr="001E4360" w:rsidRDefault="003B6F27" w:rsidP="00B01848">
      <w:pPr>
        <w:contextualSpacing/>
        <w:jc w:val="both"/>
        <w:rPr>
          <w:rFonts w:eastAsia="Arial"/>
        </w:rPr>
      </w:pPr>
    </w:p>
    <w:p w14:paraId="014A839B" w14:textId="36405000" w:rsidR="00B01848" w:rsidRDefault="00732C89" w:rsidP="001E0FF6">
      <w:pPr>
        <w:pStyle w:val="Heading2"/>
      </w:pPr>
      <w:r>
        <w:t>Reach code</w:t>
      </w:r>
      <w:r w:rsidR="00B01848">
        <w:t xml:space="preserve"> Adoption Process</w:t>
      </w:r>
    </w:p>
    <w:p w14:paraId="1804A02D" w14:textId="77777777" w:rsidR="005469FE" w:rsidRPr="005469FE" w:rsidRDefault="005469FE" w:rsidP="005469FE">
      <w:pPr>
        <w:rPr>
          <w:rFonts w:eastAsia="Arial"/>
        </w:rPr>
      </w:pPr>
    </w:p>
    <w:p w14:paraId="0B158AFD" w14:textId="7DB1CD1D" w:rsidR="002C1480" w:rsidRDefault="65631563" w:rsidP="23F2B8BB">
      <w:pPr>
        <w:contextualSpacing/>
        <w:jc w:val="both"/>
        <w:rPr>
          <w:rFonts w:eastAsia="Arial"/>
        </w:rPr>
      </w:pPr>
      <w:r w:rsidRPr="001E4360">
        <w:rPr>
          <w:rFonts w:eastAsia="Arial"/>
        </w:rPr>
        <w:t>California has a goal to install 250,000 EV chargers to support 1.5 million ZEVs by 2025 and infrastructure to support 5 million ZEVs by 2030.</w:t>
      </w:r>
      <w:r w:rsidR="00A864A9">
        <w:rPr>
          <w:rFonts w:eastAsia="Arial"/>
        </w:rPr>
        <w:t xml:space="preserve"> </w:t>
      </w:r>
      <w:r w:rsidR="00A864A9" w:rsidRPr="001E4360">
        <w:rPr>
          <w:rFonts w:eastAsia="Arial"/>
        </w:rPr>
        <w:t>The 2022 California Building Standards Code (CBSC) include</w:t>
      </w:r>
      <w:r w:rsidR="00A864A9">
        <w:rPr>
          <w:rFonts w:eastAsia="Arial"/>
        </w:rPr>
        <w:t>s</w:t>
      </w:r>
      <w:r w:rsidR="00A864A9" w:rsidRPr="001E4360">
        <w:rPr>
          <w:rFonts w:eastAsia="Arial"/>
        </w:rPr>
        <w:t xml:space="preserve"> </w:t>
      </w:r>
      <w:r w:rsidR="00A864A9" w:rsidRPr="23F2B8BB">
        <w:rPr>
          <w:rFonts w:eastAsia="Arial"/>
          <w:color w:val="000000" w:themeColor="text1"/>
        </w:rPr>
        <w:t xml:space="preserve">EV charging </w:t>
      </w:r>
      <w:r w:rsidR="00583D5C" w:rsidRPr="23F2B8BB">
        <w:rPr>
          <w:rFonts w:eastAsia="Arial"/>
          <w:color w:val="000000" w:themeColor="text1"/>
        </w:rPr>
        <w:t>requirements</w:t>
      </w:r>
      <w:r w:rsidR="00322BB3">
        <w:rPr>
          <w:rFonts w:eastAsia="Arial"/>
          <w:color w:val="000000" w:themeColor="text1"/>
        </w:rPr>
        <w:t>.</w:t>
      </w:r>
      <w:r w:rsidR="00A864A9" w:rsidRPr="23F2B8BB">
        <w:rPr>
          <w:rFonts w:eastAsia="Arial"/>
          <w:color w:val="000000" w:themeColor="text1"/>
        </w:rPr>
        <w:t xml:space="preserve"> </w:t>
      </w:r>
      <w:r w:rsidR="00322BB3">
        <w:rPr>
          <w:rFonts w:eastAsia="Arial"/>
          <w:color w:val="000000" w:themeColor="text1"/>
        </w:rPr>
        <w:t>G</w:t>
      </w:r>
      <w:r w:rsidR="00A864A9" w:rsidRPr="23F2B8BB">
        <w:rPr>
          <w:rFonts w:eastAsia="Arial"/>
          <w:color w:val="000000" w:themeColor="text1"/>
        </w:rPr>
        <w:t>iven the pace of transition needed to meet state goals and meaningfully address the climate crisis</w:t>
      </w:r>
      <w:r w:rsidR="00A00DC5">
        <w:rPr>
          <w:rFonts w:eastAsia="Arial"/>
          <w:color w:val="000000" w:themeColor="text1"/>
        </w:rPr>
        <w:t xml:space="preserve">, more </w:t>
      </w:r>
      <w:r w:rsidR="00A00DC5" w:rsidRPr="23F2B8BB">
        <w:rPr>
          <w:rFonts w:eastAsia="Arial"/>
          <w:color w:val="000000" w:themeColor="text1"/>
        </w:rPr>
        <w:t>access to EV charging</w:t>
      </w:r>
      <w:r w:rsidR="00A00DC5">
        <w:rPr>
          <w:rFonts w:eastAsia="Arial"/>
          <w:color w:val="000000" w:themeColor="text1"/>
        </w:rPr>
        <w:t xml:space="preserve"> is needed</w:t>
      </w:r>
      <w:r w:rsidR="00A864A9" w:rsidRPr="23F2B8BB">
        <w:rPr>
          <w:rFonts w:eastAsia="Arial"/>
          <w:color w:val="000000" w:themeColor="text1"/>
        </w:rPr>
        <w:t>.</w:t>
      </w:r>
      <w:r w:rsidR="001E4360" w:rsidRPr="001E4360">
        <w:rPr>
          <w:rFonts w:eastAsia="Arial"/>
        </w:rPr>
        <w:t xml:space="preserve"> </w:t>
      </w:r>
      <w:r w:rsidR="00583D5C" w:rsidRPr="23F2B8BB">
        <w:rPr>
          <w:rFonts w:eastAsia="Arial"/>
          <w:color w:val="000000" w:themeColor="text1"/>
        </w:rPr>
        <w:t>Most of the buildings built in or after 2023 will continue to exist in 2035</w:t>
      </w:r>
      <w:r w:rsidR="00EB0474">
        <w:rPr>
          <w:rFonts w:eastAsia="Arial"/>
          <w:color w:val="000000" w:themeColor="text1"/>
        </w:rPr>
        <w:t xml:space="preserve"> when all new vehicles </w:t>
      </w:r>
      <w:r w:rsidR="0000656F">
        <w:rPr>
          <w:rFonts w:eastAsia="Arial"/>
          <w:color w:val="000000" w:themeColor="text1"/>
        </w:rPr>
        <w:t>will be zero emission</w:t>
      </w:r>
      <w:r w:rsidR="00583D5C" w:rsidRPr="23F2B8BB">
        <w:rPr>
          <w:rFonts w:eastAsia="Arial"/>
          <w:color w:val="000000" w:themeColor="text1"/>
        </w:rPr>
        <w:t xml:space="preserve">, and these EVs will need a place to charge. </w:t>
      </w:r>
      <w:r w:rsidRPr="001E4360">
        <w:rPr>
          <w:rFonts w:eastAsia="Arial"/>
        </w:rPr>
        <w:t>To meet the growing need for access to EV chargers, local jurisdictions often adopt “</w:t>
      </w:r>
      <w:r w:rsidR="00DC461A">
        <w:rPr>
          <w:rFonts w:eastAsia="Arial"/>
        </w:rPr>
        <w:t>r</w:t>
      </w:r>
      <w:r w:rsidR="00732C89">
        <w:rPr>
          <w:rFonts w:eastAsia="Arial"/>
        </w:rPr>
        <w:t>each code</w:t>
      </w:r>
      <w:r w:rsidRPr="001E4360">
        <w:rPr>
          <w:rFonts w:eastAsia="Arial"/>
        </w:rPr>
        <w:t>s” to increase the number of EV charging spaces</w:t>
      </w:r>
      <w:r w:rsidR="00F810AF">
        <w:rPr>
          <w:rFonts w:eastAsia="Arial"/>
        </w:rPr>
        <w:t xml:space="preserve"> required in new construction</w:t>
      </w:r>
      <w:r w:rsidR="00D070FD">
        <w:rPr>
          <w:rFonts w:eastAsia="Arial"/>
        </w:rPr>
        <w:t>, additions, and alterations</w:t>
      </w:r>
      <w:r w:rsidRPr="001E4360">
        <w:rPr>
          <w:rFonts w:eastAsia="Arial"/>
        </w:rPr>
        <w:t xml:space="preserve">. A </w:t>
      </w:r>
      <w:r w:rsidR="00DC461A">
        <w:rPr>
          <w:rFonts w:eastAsia="Arial"/>
        </w:rPr>
        <w:t>r</w:t>
      </w:r>
      <w:r w:rsidR="00732C89">
        <w:rPr>
          <w:rFonts w:eastAsia="Arial"/>
        </w:rPr>
        <w:t>each code</w:t>
      </w:r>
      <w:r w:rsidRPr="001E4360">
        <w:rPr>
          <w:rFonts w:eastAsia="Arial"/>
        </w:rPr>
        <w:t xml:space="preserve"> is a local Building Energy Code that “reaches” beyond the state minimum requirements for energy use in building design and construction, creating opportunities for local governments to lead beyond state requirements.</w:t>
      </w:r>
      <w:r w:rsidR="000E092F">
        <w:rPr>
          <w:rFonts w:eastAsia="Arial"/>
        </w:rPr>
        <w:t xml:space="preserve"> </w:t>
      </w:r>
    </w:p>
    <w:p w14:paraId="237A87EA" w14:textId="46B98DAC" w:rsidR="64F23A01" w:rsidRDefault="64F23A01" w:rsidP="64F23A01">
      <w:pPr>
        <w:contextualSpacing/>
        <w:jc w:val="both"/>
        <w:rPr>
          <w:rFonts w:eastAsia="Arial"/>
          <w:color w:val="000000" w:themeColor="text1"/>
        </w:rPr>
      </w:pPr>
    </w:p>
    <w:p w14:paraId="1DA8F5BA" w14:textId="1A4FEACB" w:rsidR="65631563" w:rsidRDefault="65631563" w:rsidP="0EDF1649">
      <w:pPr>
        <w:spacing w:line="259" w:lineRule="auto"/>
        <w:contextualSpacing/>
        <w:jc w:val="both"/>
        <w:rPr>
          <w:rFonts w:eastAsia="Arial"/>
          <w:color w:val="000000" w:themeColor="text1"/>
        </w:rPr>
      </w:pPr>
      <w:r w:rsidRPr="0EDF1649">
        <w:rPr>
          <w:rFonts w:eastAsia="Arial"/>
          <w:color w:val="000000" w:themeColor="text1"/>
        </w:rPr>
        <w:t>More than 44 local government</w:t>
      </w:r>
      <w:r w:rsidR="41BB99D0" w:rsidRPr="0EDF1649">
        <w:rPr>
          <w:rFonts w:eastAsia="Arial"/>
          <w:color w:val="000000" w:themeColor="text1"/>
        </w:rPr>
        <w:t>s</w:t>
      </w:r>
      <w:r w:rsidRPr="0EDF1649">
        <w:rPr>
          <w:rFonts w:eastAsia="Arial"/>
          <w:color w:val="000000" w:themeColor="text1"/>
        </w:rPr>
        <w:t xml:space="preserve"> in California have adopted EV </w:t>
      </w:r>
      <w:r w:rsidR="00DC461A">
        <w:rPr>
          <w:rFonts w:eastAsia="Arial"/>
          <w:color w:val="000000" w:themeColor="text1"/>
        </w:rPr>
        <w:t>r</w:t>
      </w:r>
      <w:r w:rsidR="00732C89">
        <w:rPr>
          <w:rFonts w:eastAsia="Arial"/>
          <w:color w:val="000000" w:themeColor="text1"/>
        </w:rPr>
        <w:t>each code</w:t>
      </w:r>
      <w:r w:rsidRPr="0EDF1649">
        <w:rPr>
          <w:rFonts w:eastAsia="Arial"/>
          <w:color w:val="000000" w:themeColor="text1"/>
        </w:rPr>
        <w:t xml:space="preserve">s. These jurisdictions have increased EV infrastructure requirements in their Building Codes to help provide critical </w:t>
      </w:r>
      <w:r w:rsidR="2B00BB96" w:rsidRPr="0EDF1649">
        <w:rPr>
          <w:rFonts w:eastAsia="Arial"/>
          <w:color w:val="000000" w:themeColor="text1"/>
        </w:rPr>
        <w:t xml:space="preserve">EV </w:t>
      </w:r>
      <w:r w:rsidRPr="0EDF1649">
        <w:rPr>
          <w:rFonts w:eastAsia="Arial"/>
          <w:color w:val="000000" w:themeColor="text1"/>
        </w:rPr>
        <w:t xml:space="preserve">charging infrastructure for </w:t>
      </w:r>
      <w:r w:rsidR="097D4B03" w:rsidRPr="0EDF1649">
        <w:rPr>
          <w:rFonts w:eastAsia="Arial"/>
          <w:color w:val="000000" w:themeColor="text1"/>
        </w:rPr>
        <w:t>residences</w:t>
      </w:r>
      <w:r w:rsidRPr="0EDF1649">
        <w:rPr>
          <w:rFonts w:eastAsia="Arial"/>
          <w:color w:val="000000" w:themeColor="text1"/>
        </w:rPr>
        <w:t xml:space="preserve"> and workplaces. EV </w:t>
      </w:r>
      <w:r w:rsidR="007D2FFB">
        <w:rPr>
          <w:rFonts w:eastAsia="Arial"/>
          <w:color w:val="000000" w:themeColor="text1"/>
        </w:rPr>
        <w:t>r</w:t>
      </w:r>
      <w:r w:rsidR="00732C89">
        <w:rPr>
          <w:rFonts w:eastAsia="Arial"/>
          <w:color w:val="000000" w:themeColor="text1"/>
        </w:rPr>
        <w:t>each code</w:t>
      </w:r>
      <w:r w:rsidRPr="0EDF1649">
        <w:rPr>
          <w:rFonts w:eastAsia="Arial"/>
          <w:color w:val="000000" w:themeColor="text1"/>
        </w:rPr>
        <w:t>s help jurisdictions meet the growing gap in EV charging demand and availability.</w:t>
      </w:r>
      <w:r w:rsidR="50F6D6A3" w:rsidRPr="0EDF1649">
        <w:rPr>
          <w:rFonts w:eastAsia="Arial"/>
          <w:color w:val="000000" w:themeColor="text1"/>
        </w:rPr>
        <w:t xml:space="preserve"> </w:t>
      </w:r>
      <w:r w:rsidRPr="0EDF1649">
        <w:rPr>
          <w:rFonts w:eastAsia="Arial"/>
          <w:color w:val="000000" w:themeColor="text1"/>
        </w:rPr>
        <w:t xml:space="preserve">Adopting a </w:t>
      </w:r>
      <w:r w:rsidR="00DC461A">
        <w:rPr>
          <w:rFonts w:eastAsia="Arial"/>
          <w:color w:val="000000" w:themeColor="text1"/>
        </w:rPr>
        <w:t>r</w:t>
      </w:r>
      <w:r w:rsidR="00732C89">
        <w:rPr>
          <w:rFonts w:eastAsia="Arial"/>
          <w:color w:val="000000" w:themeColor="text1"/>
        </w:rPr>
        <w:t>each code</w:t>
      </w:r>
      <w:r w:rsidRPr="0EDF1649">
        <w:rPr>
          <w:rFonts w:eastAsia="Arial"/>
          <w:color w:val="000000" w:themeColor="text1"/>
        </w:rPr>
        <w:t xml:space="preserve"> component that addresses EV charging infrastructure will help further electrify </w:t>
      </w:r>
      <w:r w:rsidR="00A561F2">
        <w:rPr>
          <w:rFonts w:eastAsia="Arial"/>
          <w:color w:val="000000" w:themeColor="text1"/>
        </w:rPr>
        <w:t>the</w:t>
      </w:r>
      <w:r w:rsidRPr="0EDF1649">
        <w:rPr>
          <w:rFonts w:eastAsia="Arial"/>
          <w:color w:val="000000" w:themeColor="text1"/>
        </w:rPr>
        <w:t xml:space="preserve"> transportation sector. With bold EV adoption and infrastructure goals set by the state, </w:t>
      </w:r>
      <w:r w:rsidR="00F65608" w:rsidRPr="00F65608">
        <w:rPr>
          <w:rFonts w:eastAsia="Arial"/>
          <w:color w:val="000000" w:themeColor="text1"/>
          <w:shd w:val="clear" w:color="auto" w:fill="D9D9D9" w:themeFill="background1" w:themeFillShade="D9"/>
        </w:rPr>
        <w:t>[jurisdiction]</w:t>
      </w:r>
      <w:r w:rsidRPr="0EDF1649">
        <w:rPr>
          <w:rFonts w:eastAsia="Arial"/>
          <w:color w:val="000000" w:themeColor="text1"/>
        </w:rPr>
        <w:t xml:space="preserve"> can further support the transportation electrification transition by increasing the minimum requirements for EV infrastructure in new construction.</w:t>
      </w:r>
    </w:p>
    <w:p w14:paraId="1EE9B744" w14:textId="2A860DC8" w:rsidR="64F23A01" w:rsidRDefault="64F23A01" w:rsidP="64F23A01">
      <w:pPr>
        <w:contextualSpacing/>
        <w:jc w:val="both"/>
        <w:rPr>
          <w:rFonts w:eastAsia="Arial"/>
          <w:color w:val="000000" w:themeColor="text1"/>
        </w:rPr>
      </w:pPr>
    </w:p>
    <w:p w14:paraId="0BF7CAAE" w14:textId="0D00437F" w:rsidR="65631563" w:rsidRDefault="65631563" w:rsidP="23F2B8BB">
      <w:pPr>
        <w:contextualSpacing/>
        <w:jc w:val="both"/>
        <w:rPr>
          <w:rFonts w:eastAsia="Arial"/>
          <w:color w:val="2F2D2C"/>
        </w:rPr>
      </w:pPr>
      <w:r w:rsidRPr="0EDF1649">
        <w:rPr>
          <w:rFonts w:eastAsia="Arial"/>
          <w:color w:val="000000" w:themeColor="text1"/>
        </w:rPr>
        <w:t xml:space="preserve">To help achieve GHG emission reductions and EV goals, and in acknowledgement of the existing gaps in local EV charging infrastructure, staff introduced research and background on </w:t>
      </w:r>
      <w:r w:rsidRPr="001C687E">
        <w:rPr>
          <w:rFonts w:eastAsia="Arial"/>
        </w:rPr>
        <w:t>this issue</w:t>
      </w:r>
      <w:r w:rsidR="009C15AE" w:rsidRPr="001C687E">
        <w:rPr>
          <w:rFonts w:eastAsia="Arial"/>
        </w:rPr>
        <w:t xml:space="preserve"> at</w:t>
      </w:r>
      <w:r w:rsidRPr="001C687E">
        <w:rPr>
          <w:rFonts w:eastAsia="Arial"/>
        </w:rPr>
        <w:t xml:space="preserve"> </w:t>
      </w:r>
      <w:r w:rsidR="00106EAC" w:rsidRPr="001C687E">
        <w:rPr>
          <w:rFonts w:eastAsia="Arial"/>
          <w:shd w:val="clear" w:color="auto" w:fill="D9D9D9" w:themeFill="background1" w:themeFillShade="D9"/>
        </w:rPr>
        <w:t>[event name</w:t>
      </w:r>
      <w:r w:rsidR="009C15AE" w:rsidRPr="001C687E">
        <w:rPr>
          <w:rFonts w:eastAsia="Arial"/>
          <w:shd w:val="clear" w:color="auto" w:fill="D9D9D9" w:themeFill="background1" w:themeFillShade="D9"/>
        </w:rPr>
        <w:t xml:space="preserve"> and date</w:t>
      </w:r>
      <w:r w:rsidR="00106EAC" w:rsidRPr="001C687E">
        <w:rPr>
          <w:rFonts w:eastAsia="Arial"/>
          <w:shd w:val="clear" w:color="auto" w:fill="D9D9D9" w:themeFill="background1" w:themeFillShade="D9"/>
        </w:rPr>
        <w:t>]</w:t>
      </w:r>
      <w:r w:rsidRPr="001C687E">
        <w:rPr>
          <w:rFonts w:eastAsia="Arial"/>
        </w:rPr>
        <w:t xml:space="preserve">. </w:t>
      </w:r>
      <w:r w:rsidR="009C15AE" w:rsidRPr="001C687E">
        <w:rPr>
          <w:rFonts w:eastAsia="Arial"/>
          <w:shd w:val="clear" w:color="auto" w:fill="D9D9D9" w:themeFill="background1" w:themeFillShade="D9"/>
        </w:rPr>
        <w:t>[Result of event, such as recommendations]</w:t>
      </w:r>
      <w:r w:rsidR="009C15AE" w:rsidRPr="001C687E">
        <w:rPr>
          <w:rFonts w:eastAsia="Arial"/>
        </w:rPr>
        <w:t>.</w:t>
      </w:r>
      <w:r w:rsidRPr="001C687E">
        <w:rPr>
          <w:rFonts w:eastAsia="Arial"/>
        </w:rPr>
        <w:t xml:space="preserve"> Staff </w:t>
      </w:r>
      <w:r w:rsidR="001C687E">
        <w:rPr>
          <w:rFonts w:eastAsia="Arial"/>
        </w:rPr>
        <w:t xml:space="preserve">has </w:t>
      </w:r>
      <w:r w:rsidR="440A5931" w:rsidRPr="001C687E">
        <w:rPr>
          <w:rFonts w:eastAsia="Arial"/>
        </w:rPr>
        <w:t>partnered</w:t>
      </w:r>
      <w:r w:rsidRPr="001C687E">
        <w:rPr>
          <w:rFonts w:eastAsia="Arial"/>
        </w:rPr>
        <w:t xml:space="preserve"> with </w:t>
      </w:r>
      <w:r w:rsidR="12CFD37A" w:rsidRPr="001C687E">
        <w:rPr>
          <w:rFonts w:eastAsia="Arial"/>
        </w:rPr>
        <w:t>technical</w:t>
      </w:r>
      <w:r w:rsidRPr="001C687E">
        <w:rPr>
          <w:rFonts w:eastAsia="Arial"/>
        </w:rPr>
        <w:t xml:space="preserve"> consultants from </w:t>
      </w:r>
      <w:r w:rsidR="001C687E" w:rsidRPr="001C687E">
        <w:rPr>
          <w:rFonts w:eastAsia="Arial"/>
          <w:shd w:val="clear" w:color="auto" w:fill="D9D9D9" w:themeFill="background1" w:themeFillShade="D9"/>
        </w:rPr>
        <w:t>[</w:t>
      </w:r>
      <w:r w:rsidR="0026532D">
        <w:rPr>
          <w:rFonts w:eastAsia="Arial"/>
          <w:shd w:val="clear" w:color="auto" w:fill="D9D9D9" w:themeFill="background1" w:themeFillShade="D9"/>
        </w:rPr>
        <w:t>CCA Name</w:t>
      </w:r>
      <w:r w:rsidR="001C687E" w:rsidRPr="001C687E">
        <w:rPr>
          <w:rFonts w:eastAsia="Arial"/>
          <w:shd w:val="clear" w:color="auto" w:fill="D9D9D9" w:themeFill="background1" w:themeFillShade="D9"/>
        </w:rPr>
        <w:t>]</w:t>
      </w:r>
      <w:r w:rsidRPr="001C687E">
        <w:rPr>
          <w:rFonts w:eastAsia="Arial"/>
        </w:rPr>
        <w:t xml:space="preserve"> to develop an ordinance that balances the policy requests</w:t>
      </w:r>
      <w:r w:rsidR="62CF45B1" w:rsidRPr="001C687E">
        <w:rPr>
          <w:rFonts w:eastAsia="Arial"/>
        </w:rPr>
        <w:t>,</w:t>
      </w:r>
      <w:r w:rsidRPr="001C687E">
        <w:rPr>
          <w:rFonts w:eastAsia="Arial"/>
        </w:rPr>
        <w:t xml:space="preserve"> </w:t>
      </w:r>
      <w:r w:rsidR="0DAEA374" w:rsidRPr="001C687E">
        <w:rPr>
          <w:rFonts w:eastAsia="Arial"/>
        </w:rPr>
        <w:t>streamlines</w:t>
      </w:r>
      <w:r w:rsidRPr="001C687E">
        <w:rPr>
          <w:rFonts w:eastAsia="Arial"/>
        </w:rPr>
        <w:t xml:space="preserve"> implementation</w:t>
      </w:r>
      <w:r w:rsidR="4B440729" w:rsidRPr="001C687E">
        <w:rPr>
          <w:rFonts w:eastAsia="Arial"/>
        </w:rPr>
        <w:t>, advances the City’s support for EV infrastructure, and reflects feedback from the community</w:t>
      </w:r>
      <w:r w:rsidRPr="001C687E">
        <w:rPr>
          <w:rFonts w:eastAsia="Arial"/>
        </w:rPr>
        <w:t>.</w:t>
      </w:r>
    </w:p>
    <w:p w14:paraId="56CAFD21" w14:textId="77777777" w:rsidR="00B248E6" w:rsidRPr="00B248E6" w:rsidRDefault="00B248E6" w:rsidP="008317E9">
      <w:pPr>
        <w:jc w:val="both"/>
        <w:rPr>
          <w:bCs/>
          <w:i/>
          <w:iCs/>
        </w:rPr>
      </w:pPr>
    </w:p>
    <w:p w14:paraId="79EA0FBD" w14:textId="10CFE8B2" w:rsidR="00294B77" w:rsidRPr="00294B77" w:rsidRDefault="008317E9" w:rsidP="00453FD4">
      <w:pPr>
        <w:pStyle w:val="Heading1"/>
      </w:pPr>
      <w:r w:rsidRPr="0083467B">
        <w:t>DISCUSSION</w:t>
      </w:r>
    </w:p>
    <w:p w14:paraId="0AB0A57A" w14:textId="4EE46C67" w:rsidR="64F23A01" w:rsidRDefault="3D7496A1" w:rsidP="0EDF1649">
      <w:pPr>
        <w:contextualSpacing/>
        <w:jc w:val="both"/>
        <w:rPr>
          <w:rFonts w:eastAsia="Arial"/>
          <w:color w:val="000000" w:themeColor="text1"/>
        </w:rPr>
      </w:pPr>
      <w:r w:rsidRPr="0EDF1649">
        <w:rPr>
          <w:rFonts w:eastAsia="Arial"/>
          <w:color w:val="000000" w:themeColor="text1"/>
        </w:rPr>
        <w:t xml:space="preserve">The State develops and adopts adjustments to Building Codes and </w:t>
      </w:r>
      <w:r w:rsidR="595A9450" w:rsidRPr="0EDF1649">
        <w:rPr>
          <w:rFonts w:eastAsia="Arial"/>
          <w:color w:val="000000" w:themeColor="text1"/>
        </w:rPr>
        <w:t>S</w:t>
      </w:r>
      <w:r w:rsidRPr="0EDF1649">
        <w:rPr>
          <w:rFonts w:eastAsia="Arial"/>
          <w:color w:val="000000" w:themeColor="text1"/>
        </w:rPr>
        <w:t xml:space="preserve">tandards in between the regular three-year adoption cycle, known as intervening cycle changes. </w:t>
      </w:r>
      <w:r w:rsidR="0033555D">
        <w:rPr>
          <w:rFonts w:eastAsia="Arial"/>
          <w:color w:val="000000" w:themeColor="text1"/>
        </w:rPr>
        <w:t>I</w:t>
      </w:r>
      <w:r w:rsidRPr="0EDF1649">
        <w:rPr>
          <w:rFonts w:eastAsia="Arial"/>
          <w:color w:val="000000" w:themeColor="text1"/>
        </w:rPr>
        <w:t xml:space="preserve">ntervening cycle changes for the 2022 California Building Code and Standards include adjustments to CALGreen </w:t>
      </w:r>
      <w:r w:rsidR="00495398" w:rsidRPr="0EDF1649">
        <w:rPr>
          <w:rFonts w:eastAsia="Arial"/>
          <w:color w:val="000000" w:themeColor="text1"/>
        </w:rPr>
        <w:t xml:space="preserve">EV charging requirements </w:t>
      </w:r>
      <w:r w:rsidRPr="0EDF1649">
        <w:rPr>
          <w:rFonts w:eastAsia="Arial"/>
          <w:color w:val="000000" w:themeColor="text1"/>
        </w:rPr>
        <w:t>for multifamily, hotel, motel</w:t>
      </w:r>
      <w:r w:rsidR="46DFFB74" w:rsidRPr="0EDF1649">
        <w:rPr>
          <w:rFonts w:eastAsia="Arial"/>
          <w:color w:val="000000" w:themeColor="text1"/>
        </w:rPr>
        <w:t>,</w:t>
      </w:r>
      <w:r w:rsidRPr="0EDF1649">
        <w:rPr>
          <w:rFonts w:eastAsia="Arial"/>
          <w:color w:val="000000" w:themeColor="text1"/>
        </w:rPr>
        <w:t xml:space="preserve"> and nonresidential </w:t>
      </w:r>
      <w:r w:rsidR="00BE0174">
        <w:rPr>
          <w:rFonts w:eastAsia="Arial"/>
          <w:color w:val="000000" w:themeColor="text1"/>
        </w:rPr>
        <w:t>developments</w:t>
      </w:r>
      <w:r w:rsidRPr="0EDF1649">
        <w:rPr>
          <w:rFonts w:eastAsia="Arial"/>
          <w:color w:val="000000" w:themeColor="text1"/>
        </w:rPr>
        <w:t>. All jurisdictions are required to automatically adhere to the Intervening Code Adoption Cycle version of Title 24</w:t>
      </w:r>
      <w:r w:rsidR="00BE0174">
        <w:rPr>
          <w:rFonts w:eastAsia="Arial"/>
          <w:color w:val="000000" w:themeColor="text1"/>
        </w:rPr>
        <w:t xml:space="preserve"> – unless a </w:t>
      </w:r>
      <w:r w:rsidR="003016D5">
        <w:rPr>
          <w:rFonts w:eastAsia="Arial"/>
          <w:color w:val="000000" w:themeColor="text1"/>
        </w:rPr>
        <w:t>superseding</w:t>
      </w:r>
      <w:r w:rsidR="001D5410">
        <w:rPr>
          <w:rFonts w:eastAsia="Arial"/>
          <w:color w:val="000000" w:themeColor="text1"/>
        </w:rPr>
        <w:t xml:space="preserve"> </w:t>
      </w:r>
      <w:r w:rsidR="00DC461A">
        <w:rPr>
          <w:rFonts w:eastAsia="Arial"/>
          <w:color w:val="000000" w:themeColor="text1"/>
        </w:rPr>
        <w:t>r</w:t>
      </w:r>
      <w:r w:rsidR="00732C89">
        <w:rPr>
          <w:rFonts w:eastAsia="Arial"/>
          <w:color w:val="000000" w:themeColor="text1"/>
        </w:rPr>
        <w:t>each code</w:t>
      </w:r>
      <w:r w:rsidR="001D5410">
        <w:rPr>
          <w:rFonts w:eastAsia="Arial"/>
          <w:color w:val="000000" w:themeColor="text1"/>
        </w:rPr>
        <w:t xml:space="preserve"> is in place –</w:t>
      </w:r>
      <w:r w:rsidRPr="0EDF1649">
        <w:rPr>
          <w:rFonts w:eastAsia="Arial"/>
          <w:color w:val="000000" w:themeColor="text1"/>
        </w:rPr>
        <w:t xml:space="preserve"> on July 1, 2024.</w:t>
      </w:r>
      <w:r w:rsidR="24002356" w:rsidRPr="0EDF1649">
        <w:rPr>
          <w:rFonts w:eastAsia="Arial"/>
          <w:color w:val="000000" w:themeColor="text1"/>
        </w:rPr>
        <w:t xml:space="preserve"> </w:t>
      </w:r>
    </w:p>
    <w:p w14:paraId="4BFBD856" w14:textId="77777777" w:rsidR="00EB62FD" w:rsidRDefault="00EB62FD" w:rsidP="0EDF1649">
      <w:pPr>
        <w:contextualSpacing/>
        <w:jc w:val="both"/>
        <w:rPr>
          <w:rFonts w:eastAsia="Arial"/>
          <w:color w:val="000000" w:themeColor="text1"/>
        </w:rPr>
      </w:pPr>
    </w:p>
    <w:p w14:paraId="5C15FD90" w14:textId="6C41AFAD" w:rsidR="00EB62FD" w:rsidRDefault="00265778" w:rsidP="0EDF1649">
      <w:pPr>
        <w:contextualSpacing/>
        <w:jc w:val="both"/>
        <w:rPr>
          <w:rFonts w:eastAsia="Arial"/>
          <w:color w:val="000000" w:themeColor="text1"/>
        </w:rPr>
      </w:pPr>
      <w:r>
        <w:rPr>
          <w:rFonts w:eastAsia="Arial"/>
          <w:color w:val="000000" w:themeColor="text1"/>
        </w:rPr>
        <w:lastRenderedPageBreak/>
        <w:t xml:space="preserve">The City typically adopts the State’s Energy and Building Code or the “Green Building Code” with local amendments. </w:t>
      </w:r>
      <w:r w:rsidR="00ED7C25">
        <w:rPr>
          <w:rFonts w:eastAsia="Arial"/>
          <w:color w:val="000000" w:themeColor="text1"/>
        </w:rPr>
        <w:t>The</w:t>
      </w:r>
      <w:r w:rsidR="001A5430">
        <w:rPr>
          <w:rFonts w:eastAsia="Arial"/>
          <w:color w:val="000000" w:themeColor="text1"/>
        </w:rPr>
        <w:t xml:space="preserve"> proposed ordinance </w:t>
      </w:r>
      <w:r w:rsidR="00872BF5">
        <w:rPr>
          <w:rFonts w:eastAsia="Arial"/>
          <w:color w:val="000000" w:themeColor="text1"/>
        </w:rPr>
        <w:t>would</w:t>
      </w:r>
      <w:r w:rsidR="001A5430">
        <w:rPr>
          <w:rFonts w:eastAsia="Arial"/>
          <w:color w:val="000000" w:themeColor="text1"/>
        </w:rPr>
        <w:t xml:space="preserve"> </w:t>
      </w:r>
      <w:r w:rsidR="00ED7C25">
        <w:rPr>
          <w:rFonts w:eastAsia="Arial"/>
          <w:color w:val="000000" w:themeColor="text1"/>
        </w:rPr>
        <w:t>amend</w:t>
      </w:r>
      <w:r w:rsidR="001A5430">
        <w:rPr>
          <w:rFonts w:eastAsia="Arial"/>
          <w:color w:val="000000" w:themeColor="text1"/>
        </w:rPr>
        <w:t xml:space="preserve"> Chapter </w:t>
      </w:r>
      <w:r w:rsidR="00A720A7" w:rsidRPr="00A720A7">
        <w:rPr>
          <w:rFonts w:eastAsia="Arial"/>
          <w:color w:val="000000" w:themeColor="text1"/>
          <w:shd w:val="clear" w:color="auto" w:fill="D9D9D9" w:themeFill="background1" w:themeFillShade="D9"/>
        </w:rPr>
        <w:t>[XX.XX]</w:t>
      </w:r>
      <w:r w:rsidR="001A5430">
        <w:rPr>
          <w:rFonts w:eastAsia="Arial"/>
          <w:color w:val="000000" w:themeColor="text1"/>
        </w:rPr>
        <w:t xml:space="preserve"> </w:t>
      </w:r>
      <w:r w:rsidR="00ED7C25">
        <w:rPr>
          <w:rFonts w:eastAsia="Arial"/>
          <w:color w:val="000000" w:themeColor="text1"/>
        </w:rPr>
        <w:t xml:space="preserve">entitled </w:t>
      </w:r>
      <w:r w:rsidR="00A720A7" w:rsidRPr="00A720A7">
        <w:rPr>
          <w:rFonts w:eastAsia="Arial"/>
          <w:color w:val="000000" w:themeColor="text1"/>
          <w:shd w:val="clear" w:color="auto" w:fill="D9D9D9" w:themeFill="background1" w:themeFillShade="D9"/>
        </w:rPr>
        <w:t>[“Chapter Name”]</w:t>
      </w:r>
      <w:r w:rsidR="00ED7C25" w:rsidRPr="00A720A7">
        <w:rPr>
          <w:rFonts w:eastAsia="Arial"/>
          <w:color w:val="000000" w:themeColor="text1"/>
          <w:shd w:val="clear" w:color="auto" w:fill="D9D9D9" w:themeFill="background1" w:themeFillShade="D9"/>
        </w:rPr>
        <w:t xml:space="preserve"> </w:t>
      </w:r>
      <w:r w:rsidR="00ED7C25">
        <w:rPr>
          <w:rFonts w:eastAsia="Arial"/>
          <w:color w:val="000000" w:themeColor="text1"/>
        </w:rPr>
        <w:t xml:space="preserve">of the </w:t>
      </w:r>
      <w:r w:rsidR="00A720A7" w:rsidRPr="00A720A7">
        <w:rPr>
          <w:rFonts w:eastAsia="Arial"/>
          <w:color w:val="000000" w:themeColor="text1"/>
          <w:shd w:val="clear" w:color="auto" w:fill="D9D9D9" w:themeFill="background1" w:themeFillShade="D9"/>
        </w:rPr>
        <w:t>[jurisdiction]</w:t>
      </w:r>
      <w:r w:rsidR="00A720A7">
        <w:rPr>
          <w:rFonts w:eastAsia="Arial"/>
          <w:color w:val="000000" w:themeColor="text1"/>
        </w:rPr>
        <w:t xml:space="preserve"> </w:t>
      </w:r>
      <w:r w:rsidR="00ED7C25">
        <w:rPr>
          <w:rFonts w:eastAsia="Arial"/>
          <w:color w:val="000000" w:themeColor="text1"/>
        </w:rPr>
        <w:t>Municipal Code</w:t>
      </w:r>
      <w:r>
        <w:rPr>
          <w:rFonts w:eastAsia="Arial"/>
          <w:color w:val="000000" w:themeColor="text1"/>
        </w:rPr>
        <w:t xml:space="preserve"> to adopt the latest State’s Green Building Code and local amendments that will constitute </w:t>
      </w:r>
      <w:r w:rsidR="00D21046" w:rsidRPr="00D21046">
        <w:rPr>
          <w:rFonts w:eastAsia="Arial"/>
          <w:color w:val="000000" w:themeColor="text1"/>
          <w:shd w:val="clear" w:color="auto" w:fill="D9D9D9" w:themeFill="background1" w:themeFillShade="D9"/>
        </w:rPr>
        <w:t>[jurisdiction’s]</w:t>
      </w:r>
      <w:r w:rsidR="00D21046">
        <w:rPr>
          <w:rFonts w:eastAsia="Arial"/>
          <w:color w:val="000000" w:themeColor="text1"/>
        </w:rPr>
        <w:t xml:space="preserve"> </w:t>
      </w:r>
      <w:r w:rsidR="00DC461A">
        <w:rPr>
          <w:rFonts w:eastAsia="Arial"/>
          <w:color w:val="000000" w:themeColor="text1"/>
        </w:rPr>
        <w:t>r</w:t>
      </w:r>
      <w:r w:rsidR="00732C89">
        <w:rPr>
          <w:rFonts w:eastAsia="Arial"/>
          <w:color w:val="000000" w:themeColor="text1"/>
        </w:rPr>
        <w:t>each code</w:t>
      </w:r>
      <w:r w:rsidR="00CB5AAC">
        <w:rPr>
          <w:rFonts w:eastAsia="Arial"/>
          <w:color w:val="000000" w:themeColor="text1"/>
        </w:rPr>
        <w:t>.</w:t>
      </w:r>
      <w:r w:rsidR="00BF543A">
        <w:rPr>
          <w:rFonts w:eastAsia="Arial"/>
          <w:color w:val="000000" w:themeColor="text1"/>
        </w:rPr>
        <w:t xml:space="preserve"> </w:t>
      </w:r>
      <w:r w:rsidRPr="0EDF1649">
        <w:rPr>
          <w:rFonts w:eastAsia="Arial"/>
          <w:color w:val="000000" w:themeColor="text1"/>
        </w:rPr>
        <w:t xml:space="preserve">Staff has worked with technical consultants to develop an EV </w:t>
      </w:r>
      <w:r w:rsidR="00DC461A">
        <w:rPr>
          <w:rFonts w:eastAsia="Arial"/>
          <w:color w:val="000000" w:themeColor="text1"/>
        </w:rPr>
        <w:t>r</w:t>
      </w:r>
      <w:r w:rsidR="00732C89">
        <w:rPr>
          <w:rFonts w:eastAsia="Arial"/>
          <w:color w:val="000000" w:themeColor="text1"/>
        </w:rPr>
        <w:t>each code</w:t>
      </w:r>
      <w:r w:rsidRPr="0EDF1649">
        <w:rPr>
          <w:rFonts w:eastAsia="Arial"/>
          <w:color w:val="000000" w:themeColor="text1"/>
        </w:rPr>
        <w:t xml:space="preserve"> ordinance that is </w:t>
      </w:r>
      <w:r w:rsidR="004A6797" w:rsidRPr="0EDF1649">
        <w:rPr>
          <w:rFonts w:eastAsia="Arial"/>
          <w:color w:val="000000" w:themeColor="text1"/>
        </w:rPr>
        <w:t>up to date</w:t>
      </w:r>
      <w:r w:rsidRPr="0EDF1649">
        <w:rPr>
          <w:rFonts w:eastAsia="Arial"/>
          <w:color w:val="000000" w:themeColor="text1"/>
        </w:rPr>
        <w:t xml:space="preserve"> with information from the State on the 202</w:t>
      </w:r>
      <w:r>
        <w:rPr>
          <w:rFonts w:eastAsia="Arial"/>
          <w:color w:val="000000" w:themeColor="text1"/>
        </w:rPr>
        <w:t>2</w:t>
      </w:r>
      <w:r w:rsidRPr="0EDF1649">
        <w:rPr>
          <w:rFonts w:eastAsia="Arial"/>
          <w:color w:val="000000" w:themeColor="text1"/>
        </w:rPr>
        <w:t xml:space="preserve"> </w:t>
      </w:r>
      <w:r w:rsidR="004355D7">
        <w:rPr>
          <w:rFonts w:eastAsia="Arial"/>
          <w:color w:val="000000" w:themeColor="text1"/>
        </w:rPr>
        <w:t xml:space="preserve">Green Building Code, including </w:t>
      </w:r>
      <w:r w:rsidR="00FB6233" w:rsidRPr="0EDF1649">
        <w:rPr>
          <w:rFonts w:eastAsia="Arial"/>
          <w:color w:val="000000" w:themeColor="text1"/>
        </w:rPr>
        <w:t>interve</w:t>
      </w:r>
      <w:r w:rsidR="00FB6233">
        <w:rPr>
          <w:rFonts w:eastAsia="Arial"/>
          <w:color w:val="000000" w:themeColor="text1"/>
        </w:rPr>
        <w:t>ning</w:t>
      </w:r>
      <w:r w:rsidR="0080248A">
        <w:rPr>
          <w:rFonts w:eastAsia="Arial"/>
          <w:color w:val="000000" w:themeColor="text1"/>
        </w:rPr>
        <w:t xml:space="preserve"> cycle changes </w:t>
      </w:r>
      <w:r w:rsidR="00FB6233">
        <w:rPr>
          <w:rFonts w:eastAsia="Arial"/>
          <w:color w:val="000000" w:themeColor="text1"/>
        </w:rPr>
        <w:t>required as of July 1, 2024.</w:t>
      </w:r>
    </w:p>
    <w:p w14:paraId="78C79982" w14:textId="16F463DF" w:rsidR="64F23A01" w:rsidRDefault="64F23A01" w:rsidP="0EDF1649">
      <w:pPr>
        <w:contextualSpacing/>
        <w:jc w:val="both"/>
        <w:rPr>
          <w:rFonts w:eastAsia="Arial"/>
          <w:color w:val="000000" w:themeColor="text1"/>
        </w:rPr>
      </w:pPr>
    </w:p>
    <w:p w14:paraId="1609D17A" w14:textId="1AD60216" w:rsidR="64F23A01" w:rsidRPr="0059513C" w:rsidRDefault="5948366E" w:rsidP="0059513C">
      <w:pPr>
        <w:pStyle w:val="Heading2"/>
      </w:pPr>
      <w:r w:rsidRPr="0059513C">
        <w:t>Single-family Residential</w:t>
      </w:r>
    </w:p>
    <w:p w14:paraId="4453B8FA" w14:textId="77777777" w:rsidR="005762EE" w:rsidRPr="005762EE" w:rsidRDefault="005762EE" w:rsidP="00AD5ED2">
      <w:pPr>
        <w:rPr>
          <w:rFonts w:eastAsia="Arial"/>
          <w:u w:val="single"/>
        </w:rPr>
      </w:pPr>
    </w:p>
    <w:p w14:paraId="0EF60D97" w14:textId="1D1C2812" w:rsidR="001B70A2" w:rsidRPr="007B6D19" w:rsidRDefault="001B70A2" w:rsidP="001B70A2">
      <w:pPr>
        <w:spacing w:after="160"/>
        <w:contextualSpacing/>
        <w:jc w:val="both"/>
        <w:rPr>
          <w:rFonts w:eastAsia="Arial"/>
          <w:color w:val="000000" w:themeColor="text1"/>
        </w:rPr>
      </w:pPr>
      <w:r w:rsidRPr="007B6D19">
        <w:rPr>
          <w:rFonts w:eastAsia="Arial"/>
          <w:color w:val="000000" w:themeColor="text1"/>
        </w:rPr>
        <w:t xml:space="preserve">The </w:t>
      </w:r>
      <w:r w:rsidR="00641463">
        <w:rPr>
          <w:rFonts w:eastAsia="Arial"/>
          <w:color w:val="000000" w:themeColor="text1"/>
        </w:rPr>
        <w:t xml:space="preserve">statewide </w:t>
      </w:r>
      <w:r w:rsidRPr="007B6D19">
        <w:rPr>
          <w:rFonts w:eastAsia="Arial"/>
          <w:color w:val="000000" w:themeColor="text1"/>
        </w:rPr>
        <w:t xml:space="preserve">base </w:t>
      </w:r>
      <w:r w:rsidR="00641463">
        <w:rPr>
          <w:rFonts w:eastAsia="Arial"/>
          <w:color w:val="000000" w:themeColor="text1"/>
        </w:rPr>
        <w:t>co</w:t>
      </w:r>
      <w:r w:rsidR="00FE5954">
        <w:rPr>
          <w:rFonts w:eastAsia="Arial"/>
          <w:color w:val="000000" w:themeColor="text1"/>
        </w:rPr>
        <w:t xml:space="preserve">de </w:t>
      </w:r>
      <w:r w:rsidR="004777A6">
        <w:rPr>
          <w:rFonts w:eastAsia="Arial"/>
          <w:color w:val="000000" w:themeColor="text1"/>
        </w:rPr>
        <w:t>specifies</w:t>
      </w:r>
      <w:r w:rsidRPr="007B6D19">
        <w:rPr>
          <w:rFonts w:eastAsia="Arial"/>
          <w:color w:val="000000" w:themeColor="text1"/>
        </w:rPr>
        <w:t xml:space="preserve"> that new single-family homes </w:t>
      </w:r>
      <w:r w:rsidR="00FE5954">
        <w:rPr>
          <w:rFonts w:eastAsia="Arial"/>
          <w:color w:val="000000" w:themeColor="text1"/>
        </w:rPr>
        <w:t xml:space="preserve">include one </w:t>
      </w:r>
      <w:r w:rsidRPr="007B6D19">
        <w:rPr>
          <w:rFonts w:eastAsia="Arial"/>
          <w:color w:val="000000" w:themeColor="text1"/>
        </w:rPr>
        <w:t xml:space="preserve">EV </w:t>
      </w:r>
      <w:r w:rsidR="007D2FFB">
        <w:rPr>
          <w:rFonts w:eastAsia="Arial"/>
          <w:color w:val="000000" w:themeColor="text1"/>
        </w:rPr>
        <w:t>c</w:t>
      </w:r>
      <w:r w:rsidR="003273D5" w:rsidRPr="007B6D19">
        <w:rPr>
          <w:rFonts w:eastAsia="Arial"/>
          <w:color w:val="000000" w:themeColor="text1"/>
        </w:rPr>
        <w:t>apable</w:t>
      </w:r>
      <w:r w:rsidR="003273D5">
        <w:rPr>
          <w:rFonts w:eastAsia="Arial"/>
          <w:color w:val="000000" w:themeColor="text1"/>
        </w:rPr>
        <w:t xml:space="preserve"> </w:t>
      </w:r>
      <w:r w:rsidR="007D2FFB">
        <w:rPr>
          <w:rFonts w:eastAsia="Arial"/>
          <w:color w:val="000000" w:themeColor="text1"/>
        </w:rPr>
        <w:t>s</w:t>
      </w:r>
      <w:r w:rsidR="00FE5954">
        <w:rPr>
          <w:rFonts w:eastAsia="Arial"/>
          <w:color w:val="000000" w:themeColor="text1"/>
        </w:rPr>
        <w:t>pace</w:t>
      </w:r>
      <w:r w:rsidR="005E5B78">
        <w:rPr>
          <w:rFonts w:eastAsia="Arial"/>
          <w:color w:val="000000" w:themeColor="text1"/>
        </w:rPr>
        <w:t>,</w:t>
      </w:r>
      <w:r w:rsidRPr="007B6D19">
        <w:rPr>
          <w:rFonts w:eastAsia="Arial"/>
          <w:color w:val="000000" w:themeColor="text1"/>
        </w:rPr>
        <w:t xml:space="preserve"> </w:t>
      </w:r>
      <w:r w:rsidR="005E5B78">
        <w:rPr>
          <w:rFonts w:eastAsia="Arial"/>
          <w:color w:val="000000" w:themeColor="text1"/>
        </w:rPr>
        <w:t>which requires</w:t>
      </w:r>
      <w:r w:rsidR="005E5B78" w:rsidRPr="007B6D19">
        <w:rPr>
          <w:rFonts w:eastAsia="Arial"/>
          <w:color w:val="000000" w:themeColor="text1"/>
        </w:rPr>
        <w:t xml:space="preserve"> </w:t>
      </w:r>
      <w:r w:rsidRPr="007B6D19">
        <w:rPr>
          <w:rFonts w:eastAsia="Arial"/>
          <w:color w:val="000000" w:themeColor="text1"/>
        </w:rPr>
        <w:t>service panel or subpanel capacity</w:t>
      </w:r>
      <w:r w:rsidR="004A53F7">
        <w:rPr>
          <w:rFonts w:eastAsia="Arial"/>
          <w:color w:val="000000" w:themeColor="text1"/>
        </w:rPr>
        <w:t xml:space="preserve"> for </w:t>
      </w:r>
      <w:r w:rsidR="00E85980">
        <w:rPr>
          <w:rFonts w:eastAsia="Arial"/>
          <w:color w:val="000000" w:themeColor="text1"/>
        </w:rPr>
        <w:t xml:space="preserve">future </w:t>
      </w:r>
      <w:r w:rsidR="004A53F7">
        <w:rPr>
          <w:rFonts w:eastAsia="Arial"/>
          <w:color w:val="000000" w:themeColor="text1"/>
        </w:rPr>
        <w:t>EV charging</w:t>
      </w:r>
      <w:r w:rsidR="00E85980">
        <w:rPr>
          <w:rFonts w:eastAsia="Arial"/>
          <w:color w:val="000000" w:themeColor="text1"/>
        </w:rPr>
        <w:t xml:space="preserve"> installation</w:t>
      </w:r>
      <w:r w:rsidRPr="007B6D19">
        <w:rPr>
          <w:rFonts w:eastAsia="Arial"/>
          <w:color w:val="000000" w:themeColor="text1"/>
        </w:rPr>
        <w:t xml:space="preserve">. Staff recommends adopting a simple </w:t>
      </w:r>
      <w:r w:rsidR="00DC461A">
        <w:rPr>
          <w:rFonts w:eastAsia="Arial"/>
          <w:color w:val="000000" w:themeColor="text1"/>
        </w:rPr>
        <w:t>r</w:t>
      </w:r>
      <w:r w:rsidR="00732C89">
        <w:rPr>
          <w:rFonts w:eastAsia="Arial"/>
          <w:color w:val="000000" w:themeColor="text1"/>
        </w:rPr>
        <w:t>each code</w:t>
      </w:r>
      <w:r w:rsidRPr="007B6D19">
        <w:rPr>
          <w:rFonts w:eastAsia="Arial"/>
          <w:color w:val="000000" w:themeColor="text1"/>
        </w:rPr>
        <w:t xml:space="preserve"> for single-family residential, requiring one Level 2 EV </w:t>
      </w:r>
      <w:r w:rsidR="007D2FFB">
        <w:rPr>
          <w:rFonts w:eastAsia="Arial"/>
          <w:color w:val="000000" w:themeColor="text1"/>
        </w:rPr>
        <w:t>c</w:t>
      </w:r>
      <w:r w:rsidRPr="007B6D19">
        <w:rPr>
          <w:rFonts w:eastAsia="Arial"/>
          <w:color w:val="000000" w:themeColor="text1"/>
        </w:rPr>
        <w:t xml:space="preserve">harging </w:t>
      </w:r>
      <w:r w:rsidR="007D2FFB">
        <w:rPr>
          <w:rFonts w:eastAsia="Arial"/>
          <w:color w:val="000000" w:themeColor="text1"/>
        </w:rPr>
        <w:t>r</w:t>
      </w:r>
      <w:r w:rsidRPr="007B6D19">
        <w:rPr>
          <w:rFonts w:eastAsia="Arial"/>
          <w:color w:val="000000" w:themeColor="text1"/>
        </w:rPr>
        <w:t>eceptacle and</w:t>
      </w:r>
      <w:r w:rsidR="00650968">
        <w:rPr>
          <w:rFonts w:eastAsia="Arial"/>
          <w:color w:val="000000" w:themeColor="text1"/>
        </w:rPr>
        <w:t xml:space="preserve">, if a second space is </w:t>
      </w:r>
      <w:r w:rsidR="00032796">
        <w:rPr>
          <w:rFonts w:eastAsia="Arial"/>
          <w:color w:val="000000" w:themeColor="text1"/>
        </w:rPr>
        <w:t>available,</w:t>
      </w:r>
      <w:r w:rsidRPr="007B6D19">
        <w:rPr>
          <w:rFonts w:eastAsia="Arial"/>
          <w:color w:val="000000" w:themeColor="text1"/>
        </w:rPr>
        <w:t xml:space="preserve"> one Level 1 EV </w:t>
      </w:r>
      <w:r w:rsidR="007D2FFB">
        <w:rPr>
          <w:rFonts w:eastAsia="Arial"/>
          <w:color w:val="000000" w:themeColor="text1"/>
        </w:rPr>
        <w:t>c</w:t>
      </w:r>
      <w:r w:rsidRPr="007B6D19">
        <w:rPr>
          <w:rFonts w:eastAsia="Arial"/>
          <w:color w:val="000000" w:themeColor="text1"/>
        </w:rPr>
        <w:t xml:space="preserve">harging </w:t>
      </w:r>
      <w:r w:rsidR="007D2FFB">
        <w:rPr>
          <w:rFonts w:eastAsia="Arial"/>
          <w:color w:val="000000" w:themeColor="text1"/>
        </w:rPr>
        <w:t>r</w:t>
      </w:r>
      <w:r w:rsidRPr="007B6D19">
        <w:rPr>
          <w:rFonts w:eastAsia="Arial"/>
          <w:color w:val="000000" w:themeColor="text1"/>
        </w:rPr>
        <w:t xml:space="preserve">eceptacle. </w:t>
      </w:r>
    </w:p>
    <w:p w14:paraId="3761EC46" w14:textId="48F49CB0" w:rsidR="64F23A01" w:rsidRDefault="64F23A01" w:rsidP="64F23A01">
      <w:pPr>
        <w:contextualSpacing/>
        <w:jc w:val="both"/>
        <w:rPr>
          <w:rFonts w:eastAsia="Arial"/>
          <w:b/>
          <w:bCs/>
          <w:i/>
          <w:iCs/>
          <w:color w:val="000000" w:themeColor="text1"/>
        </w:rPr>
      </w:pPr>
    </w:p>
    <w:p w14:paraId="6EEABFD1" w14:textId="5BA391B8" w:rsidR="5948366E" w:rsidRDefault="5948366E" w:rsidP="0059513C">
      <w:pPr>
        <w:pStyle w:val="Heading2"/>
      </w:pPr>
      <w:r w:rsidRPr="005762EE">
        <w:t>Multifamily Residential</w:t>
      </w:r>
    </w:p>
    <w:p w14:paraId="2FC6F9BE" w14:textId="77777777" w:rsidR="005762EE" w:rsidRPr="005762EE" w:rsidRDefault="005762EE" w:rsidP="23F2B8BB">
      <w:pPr>
        <w:contextualSpacing/>
        <w:jc w:val="both"/>
        <w:rPr>
          <w:rFonts w:eastAsia="Arial"/>
          <w:u w:val="single"/>
        </w:rPr>
      </w:pPr>
    </w:p>
    <w:p w14:paraId="294C1152" w14:textId="2E0F3920" w:rsidR="5948366E" w:rsidRDefault="3B5121A6" w:rsidP="23F2B8BB">
      <w:pPr>
        <w:contextualSpacing/>
        <w:jc w:val="both"/>
        <w:rPr>
          <w:rFonts w:eastAsia="Arial"/>
          <w:color w:val="000000" w:themeColor="text1"/>
        </w:rPr>
      </w:pPr>
      <w:r w:rsidRPr="0EDF1649">
        <w:rPr>
          <w:rFonts w:eastAsia="Arial"/>
          <w:color w:val="000000" w:themeColor="text1"/>
        </w:rPr>
        <w:t>Prioritizing access</w:t>
      </w:r>
      <w:r w:rsidR="725BAC01" w:rsidRPr="0EDF1649">
        <w:rPr>
          <w:rFonts w:eastAsia="Arial"/>
          <w:color w:val="000000" w:themeColor="text1"/>
        </w:rPr>
        <w:t xml:space="preserve"> to</w:t>
      </w:r>
      <w:r w:rsidRPr="0EDF1649">
        <w:rPr>
          <w:rFonts w:eastAsia="Arial"/>
          <w:color w:val="000000" w:themeColor="text1"/>
        </w:rPr>
        <w:t xml:space="preserve"> </w:t>
      </w:r>
      <w:r w:rsidR="36F4163A" w:rsidRPr="0EDF1649">
        <w:rPr>
          <w:rFonts w:eastAsia="Arial"/>
          <w:color w:val="000000" w:themeColor="text1"/>
        </w:rPr>
        <w:t>EV charger</w:t>
      </w:r>
      <w:r w:rsidR="0302D558" w:rsidRPr="0EDF1649">
        <w:rPr>
          <w:rFonts w:eastAsia="Arial"/>
          <w:color w:val="000000" w:themeColor="text1"/>
        </w:rPr>
        <w:t>s</w:t>
      </w:r>
      <w:r w:rsidR="36F4163A" w:rsidRPr="0EDF1649">
        <w:rPr>
          <w:rFonts w:eastAsia="Arial"/>
          <w:color w:val="000000" w:themeColor="text1"/>
        </w:rPr>
        <w:t xml:space="preserve"> </w:t>
      </w:r>
      <w:r w:rsidRPr="0EDF1649">
        <w:rPr>
          <w:rFonts w:eastAsia="Arial"/>
          <w:color w:val="000000" w:themeColor="text1"/>
        </w:rPr>
        <w:t xml:space="preserve">in </w:t>
      </w:r>
      <w:r w:rsidR="66CECC0D" w:rsidRPr="0EDF1649">
        <w:rPr>
          <w:rFonts w:eastAsia="Arial"/>
          <w:color w:val="000000" w:themeColor="text1"/>
        </w:rPr>
        <w:t xml:space="preserve">multifamily residential is essential to supporting the transition to </w:t>
      </w:r>
      <w:r w:rsidR="1F305C6C" w:rsidRPr="0EDF1649">
        <w:rPr>
          <w:rFonts w:eastAsia="Arial"/>
          <w:color w:val="000000" w:themeColor="text1"/>
        </w:rPr>
        <w:t>EV</w:t>
      </w:r>
      <w:r w:rsidR="66CECC0D" w:rsidRPr="0EDF1649">
        <w:rPr>
          <w:rFonts w:eastAsia="Arial"/>
          <w:color w:val="000000" w:themeColor="text1"/>
        </w:rPr>
        <w:t xml:space="preserve">s </w:t>
      </w:r>
      <w:r w:rsidR="00255B97">
        <w:rPr>
          <w:rFonts w:eastAsia="Arial"/>
          <w:color w:val="000000" w:themeColor="text1"/>
        </w:rPr>
        <w:t>for the entire</w:t>
      </w:r>
      <w:r w:rsidR="66CECC0D" w:rsidRPr="0EDF1649">
        <w:rPr>
          <w:rFonts w:eastAsia="Arial"/>
          <w:color w:val="000000" w:themeColor="text1"/>
        </w:rPr>
        <w:t xml:space="preserve"> community. </w:t>
      </w:r>
      <w:r w:rsidR="00A76F8B" w:rsidRPr="00C8288D">
        <w:rPr>
          <w:rFonts w:eastAsia="Arial"/>
          <w:color w:val="000000" w:themeColor="text1"/>
        </w:rPr>
        <w:t>Nearly one-</w:t>
      </w:r>
      <w:r w:rsidR="00F8320F" w:rsidRPr="00C8288D">
        <w:rPr>
          <w:rFonts w:eastAsia="Arial"/>
          <w:color w:val="000000" w:themeColor="text1"/>
        </w:rPr>
        <w:t xml:space="preserve">third of Californians live in housing with two or more units in the building </w:t>
      </w:r>
      <w:r w:rsidR="00F8320F" w:rsidRPr="00C8288D">
        <w:rPr>
          <w:rFonts w:eastAsia="Arial"/>
          <w:color w:val="000000" w:themeColor="text1"/>
          <w:shd w:val="clear" w:color="auto" w:fill="D9D9D9" w:themeFill="background1" w:themeFillShade="D9"/>
        </w:rPr>
        <w:t>[Replace with local statistic if available]</w:t>
      </w:r>
      <w:r w:rsidR="00F8320F">
        <w:rPr>
          <w:rFonts w:eastAsia="Arial"/>
          <w:color w:val="000000" w:themeColor="text1"/>
        </w:rPr>
        <w:t xml:space="preserve">. </w:t>
      </w:r>
      <w:r w:rsidR="00254D1B" w:rsidRPr="15AC253B">
        <w:rPr>
          <w:rFonts w:eastAsia="Arial"/>
        </w:rPr>
        <w:t>The CALGreen intervening cycle require</w:t>
      </w:r>
      <w:r w:rsidR="00CB3B4B">
        <w:rPr>
          <w:rFonts w:eastAsia="Arial"/>
        </w:rPr>
        <w:t>s</w:t>
      </w:r>
      <w:r w:rsidR="00254D1B" w:rsidRPr="15AC253B">
        <w:rPr>
          <w:rFonts w:eastAsia="Arial"/>
        </w:rPr>
        <w:t xml:space="preserve"> 40% of total parking spaces under this designation to have </w:t>
      </w:r>
      <w:r w:rsidR="001C6278">
        <w:rPr>
          <w:rFonts w:eastAsia="Arial"/>
        </w:rPr>
        <w:t>l</w:t>
      </w:r>
      <w:r w:rsidR="00254D1B" w:rsidRPr="15AC253B">
        <w:rPr>
          <w:rFonts w:eastAsia="Arial"/>
        </w:rPr>
        <w:t xml:space="preserve">ow </w:t>
      </w:r>
      <w:r w:rsidR="001C6278">
        <w:rPr>
          <w:rFonts w:eastAsia="Arial"/>
        </w:rPr>
        <w:t>p</w:t>
      </w:r>
      <w:r w:rsidR="00254D1B" w:rsidRPr="15AC253B">
        <w:rPr>
          <w:rFonts w:eastAsia="Arial"/>
        </w:rPr>
        <w:t xml:space="preserve">ower Level 2 EV </w:t>
      </w:r>
      <w:r w:rsidR="00CE0781">
        <w:rPr>
          <w:rFonts w:eastAsia="Arial"/>
        </w:rPr>
        <w:t>r</w:t>
      </w:r>
      <w:r w:rsidR="00254D1B" w:rsidRPr="15AC253B">
        <w:rPr>
          <w:rFonts w:eastAsia="Arial"/>
        </w:rPr>
        <w:t xml:space="preserve">eady </w:t>
      </w:r>
      <w:r w:rsidR="007D2FFB">
        <w:rPr>
          <w:rFonts w:eastAsia="Arial"/>
        </w:rPr>
        <w:t>r</w:t>
      </w:r>
      <w:r w:rsidR="00254D1B" w:rsidRPr="15AC253B">
        <w:rPr>
          <w:rFonts w:eastAsia="Arial"/>
        </w:rPr>
        <w:t xml:space="preserve">eceptacles and 10% of total parking spaces to have Level 2 </w:t>
      </w:r>
      <w:r w:rsidR="00145C95">
        <w:rPr>
          <w:rFonts w:eastAsia="Arial"/>
        </w:rPr>
        <w:t xml:space="preserve">EV </w:t>
      </w:r>
      <w:r w:rsidR="00CB7689">
        <w:rPr>
          <w:rFonts w:eastAsia="Arial"/>
        </w:rPr>
        <w:t>c</w:t>
      </w:r>
      <w:r w:rsidR="00145C95">
        <w:rPr>
          <w:rFonts w:eastAsia="Arial"/>
        </w:rPr>
        <w:t xml:space="preserve">harging </w:t>
      </w:r>
      <w:r w:rsidR="00CB7689">
        <w:rPr>
          <w:rFonts w:eastAsia="Arial"/>
        </w:rPr>
        <w:t>s</w:t>
      </w:r>
      <w:r w:rsidR="00145C95">
        <w:rPr>
          <w:rFonts w:eastAsia="Arial"/>
        </w:rPr>
        <w:t>tations (</w:t>
      </w:r>
      <w:r w:rsidR="00254D1B" w:rsidRPr="15AC253B">
        <w:rPr>
          <w:rFonts w:eastAsia="Arial"/>
        </w:rPr>
        <w:t>EVCS</w:t>
      </w:r>
      <w:r w:rsidR="00145C95">
        <w:rPr>
          <w:rFonts w:eastAsia="Arial"/>
        </w:rPr>
        <w:t>)</w:t>
      </w:r>
      <w:r w:rsidR="00254D1B" w:rsidRPr="15AC253B">
        <w:rPr>
          <w:rFonts w:eastAsia="Arial"/>
        </w:rPr>
        <w:t xml:space="preserve"> installed.</w:t>
      </w:r>
      <w:r w:rsidR="00254D1B" w:rsidRPr="15AC253B">
        <w:rPr>
          <w:rFonts w:eastAsia="Arial"/>
          <w:color w:val="000000" w:themeColor="text1"/>
        </w:rPr>
        <w:t xml:space="preserve"> As p</w:t>
      </w:r>
      <w:r w:rsidR="00254D1B" w:rsidRPr="007B6D19">
        <w:rPr>
          <w:rFonts w:eastAsia="Arial"/>
          <w:color w:val="000000" w:themeColor="text1"/>
        </w:rPr>
        <w:t xml:space="preserve">rioritizing access to EV chargers in multifamily residential is essential to supporting </w:t>
      </w:r>
      <w:r w:rsidR="000827A3">
        <w:rPr>
          <w:rFonts w:eastAsia="Arial"/>
          <w:color w:val="000000" w:themeColor="text1"/>
        </w:rPr>
        <w:t>T</w:t>
      </w:r>
      <w:r w:rsidR="00254D1B" w:rsidRPr="4EF0852F">
        <w:rPr>
          <w:rFonts w:eastAsia="Arial"/>
          <w:color w:val="000000" w:themeColor="text1"/>
        </w:rPr>
        <w:t>he</w:t>
      </w:r>
      <w:r w:rsidR="00254D1B">
        <w:rPr>
          <w:rFonts w:eastAsia="Arial"/>
          <w:color w:val="000000" w:themeColor="text1"/>
        </w:rPr>
        <w:t xml:space="preserve"> proposed EV </w:t>
      </w:r>
      <w:r w:rsidR="00DC461A">
        <w:rPr>
          <w:rFonts w:eastAsia="Arial"/>
          <w:color w:val="000000" w:themeColor="text1"/>
        </w:rPr>
        <w:t>r</w:t>
      </w:r>
      <w:r w:rsidR="00732C89">
        <w:rPr>
          <w:rFonts w:eastAsia="Arial"/>
          <w:color w:val="000000" w:themeColor="text1"/>
        </w:rPr>
        <w:t>each code</w:t>
      </w:r>
      <w:r w:rsidR="00254D1B">
        <w:rPr>
          <w:rFonts w:eastAsia="Arial"/>
          <w:color w:val="000000" w:themeColor="text1"/>
        </w:rPr>
        <w:t xml:space="preserve"> includes</w:t>
      </w:r>
      <w:r w:rsidR="00254D1B" w:rsidRPr="15AC253B">
        <w:rPr>
          <w:rFonts w:eastAsia="Arial"/>
          <w:color w:val="000000" w:themeColor="text1"/>
        </w:rPr>
        <w:t xml:space="preserve"> additional requirements for multifamily residential developments</w:t>
      </w:r>
      <w:r w:rsidR="00713494">
        <w:rPr>
          <w:rFonts w:eastAsia="Arial"/>
          <w:color w:val="000000" w:themeColor="text1"/>
        </w:rPr>
        <w:t xml:space="preserve"> to ensure this significant portion of the community has equitable access to </w:t>
      </w:r>
      <w:r w:rsidR="000827A3">
        <w:rPr>
          <w:rFonts w:eastAsia="Arial"/>
          <w:color w:val="000000" w:themeColor="text1"/>
        </w:rPr>
        <w:t>EV charging</w:t>
      </w:r>
      <w:r w:rsidR="00FD2892">
        <w:rPr>
          <w:rFonts w:eastAsia="Arial"/>
          <w:color w:val="000000" w:themeColor="text1"/>
        </w:rPr>
        <w:t>. These additional requirements</w:t>
      </w:r>
      <w:r w:rsidR="00A7365A">
        <w:t xml:space="preserve"> align with the proposed language for the</w:t>
      </w:r>
      <w:r w:rsidR="00A7365A" w:rsidRPr="00985962">
        <w:rPr>
          <w:rFonts w:eastAsia="Arial"/>
        </w:rPr>
        <w:t xml:space="preserve"> </w:t>
      </w:r>
      <w:r w:rsidR="000827A3">
        <w:rPr>
          <w:rFonts w:eastAsia="Arial"/>
        </w:rPr>
        <w:t xml:space="preserve">upcoming </w:t>
      </w:r>
      <w:r w:rsidR="00A7365A" w:rsidRPr="15AC253B">
        <w:rPr>
          <w:rFonts w:eastAsia="Arial"/>
        </w:rPr>
        <w:t xml:space="preserve">mandatory requirements of the </w:t>
      </w:r>
      <w:r w:rsidR="00A7365A">
        <w:rPr>
          <w:rFonts w:eastAsia="Arial"/>
        </w:rPr>
        <w:t>2025 Green Building Code.</w:t>
      </w:r>
    </w:p>
    <w:p w14:paraId="00CFE74A" w14:textId="06BAFBFD" w:rsidR="5948366E" w:rsidRDefault="5948366E" w:rsidP="23F2B8BB">
      <w:pPr>
        <w:contextualSpacing/>
        <w:jc w:val="both"/>
        <w:rPr>
          <w:rFonts w:eastAsia="Arial"/>
          <w:color w:val="000000" w:themeColor="text1"/>
        </w:rPr>
      </w:pPr>
    </w:p>
    <w:p w14:paraId="618A1E2D" w14:textId="35B91854" w:rsidR="5948366E" w:rsidRDefault="57F837D5" w:rsidP="23F2B8BB">
      <w:pPr>
        <w:contextualSpacing/>
        <w:jc w:val="both"/>
        <w:rPr>
          <w:rFonts w:eastAsia="Arial"/>
          <w:color w:val="000000" w:themeColor="text1"/>
        </w:rPr>
      </w:pPr>
      <w:r w:rsidRPr="0EDF1649">
        <w:rPr>
          <w:rFonts w:eastAsia="Arial"/>
          <w:color w:val="000000" w:themeColor="text1"/>
        </w:rPr>
        <w:t>For multifamily parking facilities</w:t>
      </w:r>
      <w:r w:rsidR="68D72C6B" w:rsidRPr="0EDF1649">
        <w:rPr>
          <w:rFonts w:eastAsia="Arial"/>
          <w:color w:val="000000" w:themeColor="text1"/>
        </w:rPr>
        <w:t>,</w:t>
      </w:r>
      <w:r w:rsidRPr="0EDF1649">
        <w:rPr>
          <w:rFonts w:eastAsia="Arial"/>
          <w:color w:val="000000" w:themeColor="text1"/>
        </w:rPr>
        <w:t xml:space="preserve"> where dwelling units are provided with parking spaces equal to or greater than the number of dwelling units, at least one low power Level 2 EV charging receptacle shall be provided for each dwelling unit.</w:t>
      </w:r>
      <w:r w:rsidR="53566C0F" w:rsidRPr="0EDF1649">
        <w:rPr>
          <w:rFonts w:eastAsia="Arial"/>
          <w:color w:val="000000" w:themeColor="text1"/>
        </w:rPr>
        <w:t xml:space="preserve"> Where the total number of dwelling units exceeds the number of parking spaces, all parking spaces shall be provided with one low power Level 2 EV charging receptacle.</w:t>
      </w:r>
    </w:p>
    <w:p w14:paraId="0BA8FF03" w14:textId="2E8BA215" w:rsidR="5948366E" w:rsidRDefault="5948366E" w:rsidP="23F2B8BB">
      <w:pPr>
        <w:contextualSpacing/>
        <w:jc w:val="both"/>
        <w:rPr>
          <w:rFonts w:eastAsia="Arial"/>
          <w:color w:val="000000" w:themeColor="text1"/>
        </w:rPr>
      </w:pPr>
    </w:p>
    <w:p w14:paraId="2627C87F" w14:textId="2B8E5A3A" w:rsidR="5948366E" w:rsidRDefault="354114EB" w:rsidP="23F2B8BB">
      <w:pPr>
        <w:contextualSpacing/>
        <w:jc w:val="both"/>
        <w:rPr>
          <w:rFonts w:eastAsia="Arial"/>
          <w:color w:val="000000" w:themeColor="text1"/>
        </w:rPr>
      </w:pPr>
      <w:r w:rsidRPr="0EDF1649">
        <w:rPr>
          <w:rFonts w:eastAsia="Arial"/>
          <w:color w:val="000000" w:themeColor="text1"/>
        </w:rPr>
        <w:t>Where dwelling units are provided with both assigned and unassigned parking spaces, at least one low power Level 2 EV charging receptacle</w:t>
      </w:r>
      <w:r w:rsidR="0AC89BE9" w:rsidRPr="0EDF1649">
        <w:rPr>
          <w:rFonts w:eastAsia="Arial"/>
          <w:color w:val="000000" w:themeColor="text1"/>
        </w:rPr>
        <w:t xml:space="preserve"> shall be provided for each </w:t>
      </w:r>
      <w:r w:rsidR="00747D21">
        <w:rPr>
          <w:rFonts w:eastAsia="Arial"/>
          <w:color w:val="000000" w:themeColor="text1"/>
        </w:rPr>
        <w:t xml:space="preserve">dwelling unit at either the </w:t>
      </w:r>
      <w:r w:rsidR="0AC89BE9" w:rsidRPr="0EDF1649">
        <w:rPr>
          <w:rFonts w:eastAsia="Arial"/>
          <w:color w:val="000000" w:themeColor="text1"/>
        </w:rPr>
        <w:t>assigned</w:t>
      </w:r>
      <w:r w:rsidR="00747D21">
        <w:rPr>
          <w:rFonts w:eastAsia="Arial"/>
          <w:color w:val="000000" w:themeColor="text1"/>
        </w:rPr>
        <w:t xml:space="preserve"> or unassigned parking</w:t>
      </w:r>
      <w:r w:rsidR="0AC89BE9" w:rsidRPr="0EDF1649">
        <w:rPr>
          <w:rFonts w:eastAsia="Arial"/>
          <w:color w:val="000000" w:themeColor="text1"/>
        </w:rPr>
        <w:t xml:space="preserve"> space, but not required for both.</w:t>
      </w:r>
      <w:r w:rsidRPr="0EDF1649">
        <w:rPr>
          <w:rFonts w:eastAsia="Arial"/>
          <w:color w:val="000000" w:themeColor="text1"/>
        </w:rPr>
        <w:t xml:space="preserve"> </w:t>
      </w:r>
    </w:p>
    <w:p w14:paraId="4435538F" w14:textId="2CB3FB2E" w:rsidR="0EDF1649" w:rsidRDefault="0EDF1649" w:rsidP="0EDF1649">
      <w:pPr>
        <w:contextualSpacing/>
        <w:jc w:val="both"/>
        <w:rPr>
          <w:rFonts w:eastAsia="Arial"/>
          <w:color w:val="000000" w:themeColor="text1"/>
        </w:rPr>
      </w:pPr>
    </w:p>
    <w:p w14:paraId="1278AA79" w14:textId="57D3C86F" w:rsidR="5948366E" w:rsidRDefault="09CE2A23" w:rsidP="23F2B8BB">
      <w:pPr>
        <w:contextualSpacing/>
        <w:jc w:val="both"/>
        <w:rPr>
          <w:rFonts w:eastAsia="Arial"/>
          <w:color w:val="000000" w:themeColor="text1"/>
        </w:rPr>
      </w:pPr>
      <w:r w:rsidRPr="0EDF1649">
        <w:rPr>
          <w:rFonts w:eastAsia="Arial"/>
          <w:color w:val="000000" w:themeColor="text1"/>
        </w:rPr>
        <w:t xml:space="preserve">Additionally, for multifamily parking facilities with unassigned or common use parking, </w:t>
      </w:r>
      <w:r w:rsidR="000C3E74" w:rsidRPr="0EDF1649">
        <w:rPr>
          <w:rFonts w:eastAsia="Arial"/>
          <w:color w:val="000000" w:themeColor="text1"/>
        </w:rPr>
        <w:t>25%</w:t>
      </w:r>
      <w:r w:rsidRPr="0EDF1649">
        <w:rPr>
          <w:rFonts w:eastAsia="Arial"/>
          <w:color w:val="000000" w:themeColor="text1"/>
        </w:rPr>
        <w:t xml:space="preserve"> of unassigned or common use parking spaces shall also be equipped with Level 2 EV</w:t>
      </w:r>
      <w:r w:rsidR="00D55C34">
        <w:rPr>
          <w:rFonts w:eastAsia="Arial"/>
          <w:color w:val="000000" w:themeColor="text1"/>
        </w:rPr>
        <w:t>CS</w:t>
      </w:r>
      <w:r w:rsidRPr="0EDF1649">
        <w:rPr>
          <w:rFonts w:eastAsia="Arial"/>
          <w:color w:val="000000" w:themeColor="text1"/>
        </w:rPr>
        <w:t xml:space="preserve"> and shall be made available for use by all residents or guests.</w:t>
      </w:r>
    </w:p>
    <w:p w14:paraId="4B59C2FF" w14:textId="77777777" w:rsidR="00BB12C0" w:rsidRDefault="00BB12C0" w:rsidP="23F2B8BB">
      <w:pPr>
        <w:contextualSpacing/>
        <w:jc w:val="both"/>
        <w:rPr>
          <w:rFonts w:eastAsia="Arial"/>
          <w:color w:val="000000" w:themeColor="text1"/>
        </w:rPr>
      </w:pPr>
    </w:p>
    <w:p w14:paraId="3AAB73EB" w14:textId="71401453" w:rsidR="00BB12C0" w:rsidRDefault="00BB12C0" w:rsidP="23F2B8BB">
      <w:pPr>
        <w:contextualSpacing/>
        <w:jc w:val="both"/>
        <w:rPr>
          <w:rFonts w:eastAsia="Arial"/>
          <w:color w:val="000000" w:themeColor="text1"/>
        </w:rPr>
      </w:pPr>
      <w:r>
        <w:t>As with other land use categories, r</w:t>
      </w:r>
      <w:r w:rsidRPr="008C02EF">
        <w:rPr>
          <w:rFonts w:eastAsia="Arial"/>
          <w:color w:val="000000" w:themeColor="text1"/>
        </w:rPr>
        <w:t>enovations to existing development must only meet EV</w:t>
      </w:r>
      <w:r>
        <w:rPr>
          <w:rFonts w:eastAsia="Arial"/>
          <w:color w:val="000000" w:themeColor="text1"/>
        </w:rPr>
        <w:t xml:space="preserve"> </w:t>
      </w:r>
      <w:r w:rsidR="00DC461A">
        <w:rPr>
          <w:rFonts w:eastAsia="Arial"/>
          <w:color w:val="000000" w:themeColor="text1"/>
        </w:rPr>
        <w:t>r</w:t>
      </w:r>
      <w:r w:rsidR="00732C89">
        <w:rPr>
          <w:rFonts w:eastAsia="Arial"/>
          <w:color w:val="000000" w:themeColor="text1"/>
        </w:rPr>
        <w:t>each code</w:t>
      </w:r>
      <w:r w:rsidRPr="008C02EF">
        <w:rPr>
          <w:rFonts w:eastAsia="Arial"/>
          <w:color w:val="000000" w:themeColor="text1"/>
        </w:rPr>
        <w:t xml:space="preserve"> standards where already required by state law</w:t>
      </w:r>
      <w:r>
        <w:rPr>
          <w:rFonts w:eastAsia="Arial"/>
          <w:color w:val="000000" w:themeColor="text1"/>
        </w:rPr>
        <w:t>.</w:t>
      </w:r>
    </w:p>
    <w:p w14:paraId="624CD073" w14:textId="4D1C185D" w:rsidR="5948366E" w:rsidRDefault="5948366E" w:rsidP="23F2B8BB">
      <w:pPr>
        <w:contextualSpacing/>
        <w:jc w:val="both"/>
        <w:rPr>
          <w:rFonts w:eastAsia="Arial"/>
          <w:b/>
          <w:bCs/>
          <w:i/>
          <w:iCs/>
          <w:color w:val="000000" w:themeColor="text1"/>
        </w:rPr>
      </w:pPr>
    </w:p>
    <w:p w14:paraId="7864F568" w14:textId="5DBA418B" w:rsidR="64F23A01" w:rsidRPr="005762EE" w:rsidRDefault="5948366E" w:rsidP="0059513C">
      <w:pPr>
        <w:pStyle w:val="Heading2"/>
      </w:pPr>
      <w:r w:rsidRPr="005762EE">
        <w:lastRenderedPageBreak/>
        <w:t>Hotels and Motels</w:t>
      </w:r>
    </w:p>
    <w:p w14:paraId="48A25B08" w14:textId="77777777" w:rsidR="005762EE" w:rsidRPr="00AD5ED2" w:rsidRDefault="005762EE" w:rsidP="23F2B8BB">
      <w:pPr>
        <w:contextualSpacing/>
        <w:jc w:val="both"/>
        <w:rPr>
          <w:rFonts w:eastAsia="Arial"/>
          <w:u w:val="single"/>
        </w:rPr>
      </w:pPr>
    </w:p>
    <w:p w14:paraId="30E115A8" w14:textId="0D15668E" w:rsidR="00A73DB9" w:rsidRPr="001C6278" w:rsidRDefault="00A73DB9" w:rsidP="006371F2">
      <w:pPr>
        <w:contextualSpacing/>
        <w:jc w:val="both"/>
        <w:rPr>
          <w:rFonts w:eastAsia="Arial"/>
        </w:rPr>
      </w:pPr>
      <w:r w:rsidRPr="15AC253B">
        <w:rPr>
          <w:color w:val="000000" w:themeColor="text1"/>
        </w:rPr>
        <w:t xml:space="preserve">Currently under the </w:t>
      </w:r>
      <w:r>
        <w:rPr>
          <w:color w:val="000000" w:themeColor="text1"/>
        </w:rPr>
        <w:t xml:space="preserve">State </w:t>
      </w:r>
      <w:r w:rsidRPr="15AC253B">
        <w:rPr>
          <w:color w:val="000000" w:themeColor="text1"/>
        </w:rPr>
        <w:t xml:space="preserve">code, hotels and motels are categorized under multifamily residential, and thus match the same requirements with </w:t>
      </w:r>
      <w:r w:rsidRPr="15AC253B">
        <w:rPr>
          <w:rFonts w:eastAsia="Arial"/>
        </w:rPr>
        <w:t xml:space="preserve">40% of total parking spaces with </w:t>
      </w:r>
      <w:r w:rsidR="001C6278">
        <w:rPr>
          <w:rFonts w:eastAsia="Arial"/>
        </w:rPr>
        <w:t>l</w:t>
      </w:r>
      <w:r w:rsidRPr="15AC253B">
        <w:rPr>
          <w:rFonts w:eastAsia="Arial"/>
        </w:rPr>
        <w:t xml:space="preserve">ow </w:t>
      </w:r>
      <w:r w:rsidR="001C6278">
        <w:rPr>
          <w:rFonts w:eastAsia="Arial"/>
        </w:rPr>
        <w:t>p</w:t>
      </w:r>
      <w:r w:rsidRPr="15AC253B">
        <w:rPr>
          <w:rFonts w:eastAsia="Arial"/>
        </w:rPr>
        <w:t xml:space="preserve">ower Level 2 EV </w:t>
      </w:r>
      <w:r w:rsidR="00CE0781">
        <w:rPr>
          <w:rFonts w:eastAsia="Arial"/>
        </w:rPr>
        <w:t>r</w:t>
      </w:r>
      <w:r w:rsidRPr="15AC253B">
        <w:rPr>
          <w:rFonts w:eastAsia="Arial"/>
        </w:rPr>
        <w:t xml:space="preserve">eady </w:t>
      </w:r>
      <w:r w:rsidR="007D2FFB">
        <w:rPr>
          <w:rFonts w:eastAsia="Arial"/>
        </w:rPr>
        <w:t>r</w:t>
      </w:r>
      <w:r w:rsidRPr="15AC253B">
        <w:rPr>
          <w:rFonts w:eastAsia="Arial"/>
        </w:rPr>
        <w:t>eceptacles and 10% of total parking spaces to have Level 2 EVCS installed.</w:t>
      </w:r>
      <w:r w:rsidRPr="15AC253B">
        <w:rPr>
          <w:color w:val="000000" w:themeColor="text1"/>
        </w:rPr>
        <w:t xml:space="preserve"> </w:t>
      </w:r>
      <w:r w:rsidR="00546EB2">
        <w:t>E</w:t>
      </w:r>
      <w:r w:rsidR="4033C52C">
        <w:t xml:space="preserve">xpanding charging access at hotels </w:t>
      </w:r>
      <w:r w:rsidR="00546EB2">
        <w:t xml:space="preserve">can better </w:t>
      </w:r>
      <w:r w:rsidR="4033C52C">
        <w:t xml:space="preserve">accommodate travelers and visitors to the region. </w:t>
      </w:r>
    </w:p>
    <w:p w14:paraId="55DD7F05" w14:textId="77777777" w:rsidR="00A73DB9" w:rsidRDefault="00A73DB9" w:rsidP="006371F2">
      <w:pPr>
        <w:contextualSpacing/>
        <w:jc w:val="both"/>
      </w:pPr>
    </w:p>
    <w:p w14:paraId="30277E29" w14:textId="3B34ACCD" w:rsidR="0EDF1649" w:rsidRDefault="4033C52C" w:rsidP="006371F2">
      <w:pPr>
        <w:contextualSpacing/>
        <w:jc w:val="both"/>
      </w:pPr>
      <w:r>
        <w:t>Under the proposed ordinance f</w:t>
      </w:r>
      <w:r w:rsidR="3F56D507">
        <w:t xml:space="preserve">or new hotels and motels, </w:t>
      </w:r>
      <w:r w:rsidR="000C3E74">
        <w:t xml:space="preserve">40% </w:t>
      </w:r>
      <w:r w:rsidR="3F56D507">
        <w:t xml:space="preserve">of the total number of parking spaces shall be equipped with low power Level 2 EV charging receptacles. Additionally, </w:t>
      </w:r>
      <w:r w:rsidR="003D1941">
        <w:t>25%</w:t>
      </w:r>
      <w:r w:rsidR="3F56D507">
        <w:t xml:space="preserve"> of the total number of parking spaces shall be equipped with Level 2 EV</w:t>
      </w:r>
      <w:r w:rsidR="009E79E9">
        <w:t>CS</w:t>
      </w:r>
      <w:r w:rsidR="6C0A255A">
        <w:t xml:space="preserve">. </w:t>
      </w:r>
      <w:r w:rsidR="00A73DB9">
        <w:t xml:space="preserve">This aligns with the </w:t>
      </w:r>
      <w:r w:rsidR="00750A71">
        <w:t>proposed language for the</w:t>
      </w:r>
      <w:r w:rsidR="00985962" w:rsidRPr="00985962">
        <w:rPr>
          <w:rFonts w:eastAsia="Arial"/>
        </w:rPr>
        <w:t xml:space="preserve"> </w:t>
      </w:r>
      <w:r w:rsidR="00985962" w:rsidRPr="15AC253B">
        <w:rPr>
          <w:rFonts w:eastAsia="Arial"/>
        </w:rPr>
        <w:t xml:space="preserve">mandatory requirements of the </w:t>
      </w:r>
      <w:r w:rsidR="00F57A99">
        <w:rPr>
          <w:rFonts w:eastAsia="Arial"/>
        </w:rPr>
        <w:t>2025 Green Building Code.</w:t>
      </w:r>
    </w:p>
    <w:p w14:paraId="5857DC1A" w14:textId="77777777" w:rsidR="006371F2" w:rsidRDefault="006371F2" w:rsidP="0054186D">
      <w:pPr>
        <w:contextualSpacing/>
        <w:jc w:val="both"/>
      </w:pPr>
    </w:p>
    <w:p w14:paraId="104D703F" w14:textId="6C6022CB" w:rsidR="23F2B8BB" w:rsidRPr="005762EE" w:rsidRDefault="0B1F5E88" w:rsidP="0059513C">
      <w:pPr>
        <w:pStyle w:val="Heading2"/>
      </w:pPr>
      <w:r w:rsidRPr="005762EE">
        <w:t>Nonresidential</w:t>
      </w:r>
    </w:p>
    <w:p w14:paraId="57C76B8B" w14:textId="77777777" w:rsidR="005762EE" w:rsidRPr="005762EE" w:rsidRDefault="005762EE" w:rsidP="0EDF1649">
      <w:pPr>
        <w:contextualSpacing/>
        <w:jc w:val="both"/>
        <w:rPr>
          <w:rFonts w:eastAsia="Arial"/>
        </w:rPr>
      </w:pPr>
    </w:p>
    <w:p w14:paraId="75D55AB4" w14:textId="78221657" w:rsidR="0ADB2D31" w:rsidRDefault="0ADB2D31" w:rsidP="0EDF1649">
      <w:pPr>
        <w:contextualSpacing/>
        <w:jc w:val="both"/>
        <w:rPr>
          <w:rFonts w:eastAsia="Arial"/>
          <w:color w:val="000000" w:themeColor="text1"/>
        </w:rPr>
      </w:pPr>
      <w:r w:rsidRPr="0EDF1649">
        <w:rPr>
          <w:rFonts w:eastAsia="Arial"/>
          <w:color w:val="000000" w:themeColor="text1"/>
        </w:rPr>
        <w:t xml:space="preserve">For nonresidential development, </w:t>
      </w:r>
      <w:r w:rsidR="3BC6475C" w:rsidRPr="0EDF1649">
        <w:rPr>
          <w:rFonts w:eastAsia="Arial"/>
          <w:color w:val="000000" w:themeColor="text1"/>
        </w:rPr>
        <w:t xml:space="preserve">focusing on developing workplace charging can help support commuters who may be traveling long distances to work or who may not have access to charging at home. </w:t>
      </w:r>
      <w:r w:rsidR="00EC04EF">
        <w:rPr>
          <w:rFonts w:eastAsia="Arial"/>
          <w:color w:val="000000" w:themeColor="text1"/>
        </w:rPr>
        <w:t xml:space="preserve">Workplace charging also shifts electric usage towards maximum daylight hours which aligns with solar power generation, meaning energy is being used when it is at its cleanest. This also enables less load being added at peak demand times later in the </w:t>
      </w:r>
      <w:r w:rsidR="006D72EB">
        <w:rPr>
          <w:rFonts w:eastAsia="Arial"/>
          <w:color w:val="000000" w:themeColor="text1"/>
        </w:rPr>
        <w:t xml:space="preserve">evening </w:t>
      </w:r>
      <w:r w:rsidR="00EC04EF">
        <w:rPr>
          <w:rFonts w:eastAsia="Arial"/>
          <w:color w:val="000000" w:themeColor="text1"/>
        </w:rPr>
        <w:t>when solar power generation is going offline.</w:t>
      </w:r>
    </w:p>
    <w:p w14:paraId="1ADD5893" w14:textId="669641B9" w:rsidR="0EDF1649" w:rsidRDefault="0EDF1649" w:rsidP="0EDF1649">
      <w:pPr>
        <w:contextualSpacing/>
        <w:jc w:val="both"/>
        <w:rPr>
          <w:rFonts w:eastAsia="Arial"/>
          <w:color w:val="000000" w:themeColor="text1"/>
        </w:rPr>
      </w:pPr>
    </w:p>
    <w:p w14:paraId="5B972ADC" w14:textId="58F6D9A7" w:rsidR="0E4B8D2D" w:rsidRDefault="0E4B8D2D" w:rsidP="0EDF1649">
      <w:pPr>
        <w:contextualSpacing/>
        <w:jc w:val="both"/>
        <w:rPr>
          <w:rFonts w:eastAsia="Arial"/>
          <w:color w:val="000000" w:themeColor="text1"/>
        </w:rPr>
      </w:pPr>
      <w:r w:rsidRPr="0EDF1649">
        <w:rPr>
          <w:rFonts w:eastAsia="Arial"/>
          <w:color w:val="000000" w:themeColor="text1"/>
        </w:rPr>
        <w:t>The proposed ordinance would require the following of new nonresidential development</w:t>
      </w:r>
      <w:r w:rsidR="4FA6A7FB" w:rsidRPr="0EDF1649">
        <w:rPr>
          <w:rFonts w:eastAsia="Arial"/>
          <w:color w:val="000000" w:themeColor="text1"/>
        </w:rPr>
        <w:t xml:space="preserve"> by parking spaces:</w:t>
      </w:r>
    </w:p>
    <w:p w14:paraId="7A14EE70" w14:textId="77777777" w:rsidR="004A6797" w:rsidRDefault="004A6797" w:rsidP="0EDF1649">
      <w:pPr>
        <w:contextualSpacing/>
        <w:jc w:val="both"/>
        <w:rPr>
          <w:rFonts w:eastAsia="Arial"/>
          <w:color w:val="000000" w:themeColor="text1"/>
        </w:rPr>
      </w:pPr>
    </w:p>
    <w:tbl>
      <w:tblPr>
        <w:tblStyle w:val="TableGrid"/>
        <w:tblW w:w="0" w:type="auto"/>
        <w:tblLayout w:type="fixed"/>
        <w:tblLook w:val="04A0" w:firstRow="1" w:lastRow="0" w:firstColumn="1" w:lastColumn="0" w:noHBand="0" w:noVBand="1"/>
      </w:tblPr>
      <w:tblGrid>
        <w:gridCol w:w="2265"/>
        <w:gridCol w:w="2355"/>
        <w:gridCol w:w="2355"/>
        <w:gridCol w:w="2265"/>
      </w:tblGrid>
      <w:tr w:rsidR="0EDF1649" w14:paraId="3C708E34" w14:textId="77777777" w:rsidTr="0EDF1649">
        <w:trPr>
          <w:trHeight w:val="300"/>
        </w:trPr>
        <w:tc>
          <w:tcPr>
            <w:tcW w:w="2265" w:type="dxa"/>
          </w:tcPr>
          <w:p w14:paraId="7D1E07C4" w14:textId="03126832" w:rsidR="0EDF1649" w:rsidRDefault="0EDF1649" w:rsidP="0EDF1649">
            <w:pPr>
              <w:spacing w:line="259" w:lineRule="auto"/>
              <w:rPr>
                <w:rFonts w:eastAsia="Arial"/>
                <w:color w:val="000000" w:themeColor="text1"/>
              </w:rPr>
            </w:pPr>
            <w:r w:rsidRPr="0EDF1649">
              <w:rPr>
                <w:rFonts w:eastAsia="Arial"/>
                <w:b/>
                <w:bCs/>
                <w:color w:val="000000" w:themeColor="text1"/>
                <w:u w:val="single"/>
              </w:rPr>
              <w:t>FACILITY TYPE</w:t>
            </w:r>
          </w:p>
        </w:tc>
        <w:tc>
          <w:tcPr>
            <w:tcW w:w="2355" w:type="dxa"/>
          </w:tcPr>
          <w:p w14:paraId="0ADE4916" w14:textId="4D9EB410" w:rsidR="0EDF1649" w:rsidRDefault="0EDF1649" w:rsidP="0EDF1649">
            <w:pPr>
              <w:spacing w:line="259" w:lineRule="auto"/>
              <w:rPr>
                <w:rFonts w:eastAsia="Arial"/>
                <w:color w:val="000000" w:themeColor="text1"/>
              </w:rPr>
            </w:pPr>
            <w:r w:rsidRPr="0EDF1649">
              <w:rPr>
                <w:rFonts w:eastAsia="Arial"/>
                <w:b/>
                <w:bCs/>
                <w:color w:val="000000" w:themeColor="text1"/>
                <w:u w:val="single"/>
              </w:rPr>
              <w:t>NUMBER OF REQUIRED EV CAPABLE OR EVCS SPACES</w:t>
            </w:r>
          </w:p>
        </w:tc>
        <w:tc>
          <w:tcPr>
            <w:tcW w:w="2355" w:type="dxa"/>
          </w:tcPr>
          <w:p w14:paraId="733B04E8" w14:textId="1E9A57B3" w:rsidR="0EDF1649" w:rsidRDefault="0EDF1649" w:rsidP="0EDF1649">
            <w:pPr>
              <w:spacing w:line="259" w:lineRule="auto"/>
              <w:rPr>
                <w:rFonts w:eastAsia="Arial"/>
                <w:color w:val="000000" w:themeColor="text1"/>
                <w:sz w:val="19"/>
                <w:szCs w:val="19"/>
              </w:rPr>
            </w:pPr>
            <w:r w:rsidRPr="0EDF1649">
              <w:rPr>
                <w:rFonts w:eastAsia="Arial"/>
                <w:b/>
                <w:bCs/>
                <w:color w:val="000000" w:themeColor="text1"/>
                <w:u w:val="single"/>
              </w:rPr>
              <w:t>NUMBER OF REQUIRED EV CAPABLE SPACES</w:t>
            </w:r>
            <w:r w:rsidRPr="0EDF1649">
              <w:rPr>
                <w:rFonts w:eastAsia="Arial"/>
                <w:b/>
                <w:bCs/>
                <w:color w:val="000000" w:themeColor="text1"/>
                <w:u w:val="single"/>
                <w:vertAlign w:val="superscript"/>
              </w:rPr>
              <w:t>1</w:t>
            </w:r>
          </w:p>
        </w:tc>
        <w:tc>
          <w:tcPr>
            <w:tcW w:w="2265" w:type="dxa"/>
          </w:tcPr>
          <w:p w14:paraId="79E4FB82" w14:textId="0282E1FA" w:rsidR="0EDF1649" w:rsidRDefault="0EDF1649" w:rsidP="0EDF1649">
            <w:pPr>
              <w:spacing w:line="259" w:lineRule="auto"/>
              <w:rPr>
                <w:rFonts w:eastAsia="Arial"/>
                <w:color w:val="000000" w:themeColor="text1"/>
                <w:sz w:val="19"/>
                <w:szCs w:val="19"/>
              </w:rPr>
            </w:pPr>
            <w:r w:rsidRPr="0EDF1649">
              <w:rPr>
                <w:rFonts w:eastAsia="Arial"/>
                <w:b/>
                <w:bCs/>
                <w:color w:val="000000" w:themeColor="text1"/>
                <w:u w:val="single"/>
              </w:rPr>
              <w:t>NUMBER OF REQUIRED EVCS</w:t>
            </w:r>
            <w:r w:rsidRPr="0EDF1649">
              <w:rPr>
                <w:rFonts w:eastAsia="Arial"/>
                <w:b/>
                <w:bCs/>
                <w:color w:val="000000" w:themeColor="text1"/>
                <w:u w:val="single"/>
                <w:vertAlign w:val="superscript"/>
              </w:rPr>
              <w:t>1,2</w:t>
            </w:r>
          </w:p>
        </w:tc>
      </w:tr>
      <w:tr w:rsidR="0EDF1649" w14:paraId="3526FDEC" w14:textId="77777777" w:rsidTr="0EDF1649">
        <w:trPr>
          <w:trHeight w:val="300"/>
        </w:trPr>
        <w:tc>
          <w:tcPr>
            <w:tcW w:w="2265" w:type="dxa"/>
          </w:tcPr>
          <w:p w14:paraId="5B55447C" w14:textId="0C2D73F4" w:rsidR="0EDF1649" w:rsidRDefault="0EDF1649" w:rsidP="0EDF1649">
            <w:pPr>
              <w:spacing w:line="259" w:lineRule="auto"/>
              <w:jc w:val="center"/>
              <w:rPr>
                <w:rFonts w:eastAsia="Arial"/>
                <w:color w:val="000000" w:themeColor="text1"/>
              </w:rPr>
            </w:pPr>
            <w:r w:rsidRPr="0EDF1649">
              <w:rPr>
                <w:rFonts w:eastAsia="Arial"/>
                <w:color w:val="000000" w:themeColor="text1"/>
              </w:rPr>
              <w:t>Office &amp; Retail</w:t>
            </w:r>
          </w:p>
        </w:tc>
        <w:tc>
          <w:tcPr>
            <w:tcW w:w="2355" w:type="dxa"/>
          </w:tcPr>
          <w:p w14:paraId="232E1AEA" w14:textId="20551996" w:rsidR="0EDF1649" w:rsidRDefault="0EDF1649" w:rsidP="0EDF1649">
            <w:pPr>
              <w:spacing w:line="259" w:lineRule="auto"/>
              <w:jc w:val="center"/>
              <w:rPr>
                <w:rFonts w:eastAsia="Arial"/>
                <w:color w:val="000000" w:themeColor="text1"/>
              </w:rPr>
            </w:pPr>
            <w:r w:rsidRPr="0EDF1649">
              <w:rPr>
                <w:rFonts w:eastAsia="Arial"/>
                <w:color w:val="000000" w:themeColor="text1"/>
              </w:rPr>
              <w:t>45% of actual parking spaces</w:t>
            </w:r>
          </w:p>
        </w:tc>
        <w:tc>
          <w:tcPr>
            <w:tcW w:w="2355" w:type="dxa"/>
          </w:tcPr>
          <w:p w14:paraId="138671C0" w14:textId="5B46FADD" w:rsidR="0EDF1649" w:rsidRDefault="0EDF1649" w:rsidP="0EDF1649">
            <w:pPr>
              <w:spacing w:line="259" w:lineRule="auto"/>
              <w:jc w:val="center"/>
              <w:rPr>
                <w:rFonts w:eastAsia="Arial"/>
                <w:color w:val="000000" w:themeColor="text1"/>
              </w:rPr>
            </w:pPr>
            <w:r w:rsidRPr="0EDF1649">
              <w:rPr>
                <w:rFonts w:eastAsia="Arial"/>
                <w:color w:val="000000" w:themeColor="text1"/>
              </w:rPr>
              <w:t>11% of actual parking spaces</w:t>
            </w:r>
          </w:p>
        </w:tc>
        <w:tc>
          <w:tcPr>
            <w:tcW w:w="2265" w:type="dxa"/>
          </w:tcPr>
          <w:p w14:paraId="18AC63F9" w14:textId="69310932" w:rsidR="0EDF1649" w:rsidRDefault="0EDF1649" w:rsidP="0EDF1649">
            <w:pPr>
              <w:spacing w:line="259" w:lineRule="auto"/>
              <w:jc w:val="center"/>
              <w:rPr>
                <w:rFonts w:eastAsia="Arial"/>
                <w:color w:val="000000" w:themeColor="text1"/>
              </w:rPr>
            </w:pPr>
            <w:r w:rsidRPr="0EDF1649">
              <w:rPr>
                <w:rFonts w:eastAsia="Arial"/>
                <w:color w:val="000000" w:themeColor="text1"/>
              </w:rPr>
              <w:t>34% of actual parking spaces</w:t>
            </w:r>
          </w:p>
        </w:tc>
      </w:tr>
      <w:tr w:rsidR="0EDF1649" w14:paraId="54ECA498" w14:textId="77777777" w:rsidTr="0EDF1649">
        <w:trPr>
          <w:trHeight w:val="300"/>
        </w:trPr>
        <w:tc>
          <w:tcPr>
            <w:tcW w:w="2265" w:type="dxa"/>
          </w:tcPr>
          <w:p w14:paraId="72CA24F3" w14:textId="06AE482C" w:rsidR="0EDF1649" w:rsidRDefault="0EDF1649" w:rsidP="0EDF1649">
            <w:pPr>
              <w:spacing w:line="259" w:lineRule="auto"/>
              <w:jc w:val="center"/>
              <w:rPr>
                <w:rFonts w:eastAsia="Arial"/>
                <w:color w:val="000000" w:themeColor="text1"/>
              </w:rPr>
            </w:pPr>
            <w:r w:rsidRPr="0EDF1649">
              <w:rPr>
                <w:rFonts w:eastAsia="Arial"/>
                <w:color w:val="000000" w:themeColor="text1"/>
              </w:rPr>
              <w:t>All Other</w:t>
            </w:r>
          </w:p>
        </w:tc>
        <w:tc>
          <w:tcPr>
            <w:tcW w:w="2355" w:type="dxa"/>
          </w:tcPr>
          <w:p w14:paraId="0709C19F" w14:textId="22C3BBC5" w:rsidR="0EDF1649" w:rsidRDefault="0EDF1649" w:rsidP="0EDF1649">
            <w:pPr>
              <w:spacing w:line="259" w:lineRule="auto"/>
              <w:jc w:val="center"/>
              <w:rPr>
                <w:rFonts w:eastAsia="Arial"/>
                <w:color w:val="000000" w:themeColor="text1"/>
              </w:rPr>
            </w:pPr>
            <w:r w:rsidRPr="0EDF1649">
              <w:rPr>
                <w:rFonts w:eastAsia="Arial"/>
                <w:color w:val="000000" w:themeColor="text1"/>
              </w:rPr>
              <w:t>45% of actual parking spaces</w:t>
            </w:r>
          </w:p>
        </w:tc>
        <w:tc>
          <w:tcPr>
            <w:tcW w:w="2355" w:type="dxa"/>
          </w:tcPr>
          <w:p w14:paraId="7B43B1EC" w14:textId="098D0D29" w:rsidR="0EDF1649" w:rsidRDefault="0EDF1649" w:rsidP="0EDF1649">
            <w:pPr>
              <w:spacing w:line="259" w:lineRule="auto"/>
              <w:jc w:val="center"/>
              <w:rPr>
                <w:rFonts w:eastAsia="Arial"/>
                <w:color w:val="000000" w:themeColor="text1"/>
              </w:rPr>
            </w:pPr>
            <w:r w:rsidRPr="0EDF1649">
              <w:rPr>
                <w:rFonts w:eastAsia="Arial"/>
                <w:color w:val="000000" w:themeColor="text1"/>
              </w:rPr>
              <w:t>22% of actual parking spaces</w:t>
            </w:r>
          </w:p>
        </w:tc>
        <w:tc>
          <w:tcPr>
            <w:tcW w:w="2265" w:type="dxa"/>
          </w:tcPr>
          <w:p w14:paraId="5F6DAD1F" w14:textId="21746D70" w:rsidR="0EDF1649" w:rsidRDefault="0EDF1649" w:rsidP="0EDF1649">
            <w:pPr>
              <w:spacing w:line="259" w:lineRule="auto"/>
              <w:jc w:val="center"/>
              <w:rPr>
                <w:rFonts w:eastAsia="Arial"/>
                <w:color w:val="000000" w:themeColor="text1"/>
              </w:rPr>
            </w:pPr>
            <w:r w:rsidRPr="0EDF1649">
              <w:rPr>
                <w:rFonts w:eastAsia="Arial"/>
                <w:color w:val="000000" w:themeColor="text1"/>
              </w:rPr>
              <w:t>23% of actual parking spaces</w:t>
            </w:r>
          </w:p>
        </w:tc>
      </w:tr>
    </w:tbl>
    <w:p w14:paraId="6A999A70" w14:textId="20FC0657" w:rsidR="0EDF1649" w:rsidRDefault="0EDF1649" w:rsidP="0EDF1649">
      <w:pPr>
        <w:contextualSpacing/>
        <w:jc w:val="both"/>
        <w:rPr>
          <w:rFonts w:eastAsia="Arial"/>
          <w:color w:val="000000" w:themeColor="text1"/>
        </w:rPr>
      </w:pPr>
    </w:p>
    <w:p w14:paraId="0C95FAE8" w14:textId="72DC0A56" w:rsidR="5E0CD52B" w:rsidRDefault="00277E4B" w:rsidP="0EDF1649">
      <w:pPr>
        <w:contextualSpacing/>
        <w:jc w:val="both"/>
        <w:rPr>
          <w:rFonts w:eastAsia="Arial"/>
          <w:color w:val="000000" w:themeColor="text1"/>
        </w:rPr>
      </w:pPr>
      <w:r>
        <w:rPr>
          <w:rFonts w:eastAsia="Arial"/>
          <w:color w:val="000000" w:themeColor="text1"/>
        </w:rPr>
        <w:t>The CALGreen</w:t>
      </w:r>
      <w:r w:rsidR="00D305C6">
        <w:rPr>
          <w:rFonts w:eastAsia="Arial"/>
          <w:color w:val="000000" w:themeColor="text1"/>
        </w:rPr>
        <w:t xml:space="preserve"> code also allows for compliance via an alternative “power allocation method”</w:t>
      </w:r>
      <w:r w:rsidR="001D4E74">
        <w:rPr>
          <w:rFonts w:eastAsia="Arial"/>
          <w:color w:val="000000" w:themeColor="text1"/>
        </w:rPr>
        <w:t xml:space="preserve"> for calculating the amount of </w:t>
      </w:r>
      <w:r w:rsidR="001C655B">
        <w:rPr>
          <w:rFonts w:eastAsia="Arial"/>
          <w:color w:val="000000" w:themeColor="text1"/>
        </w:rPr>
        <w:t>power dedicated to EV charging infrastructure.</w:t>
      </w:r>
      <w:r w:rsidR="001D4E74">
        <w:rPr>
          <w:rFonts w:eastAsia="Arial"/>
          <w:color w:val="000000" w:themeColor="text1"/>
        </w:rPr>
        <w:t xml:space="preserve"> </w:t>
      </w:r>
      <w:r w:rsidR="5E0CD52B" w:rsidRPr="0EDF1649">
        <w:rPr>
          <w:rFonts w:eastAsia="Arial"/>
          <w:color w:val="000000" w:themeColor="text1"/>
        </w:rPr>
        <w:t>The proposed ordinance would require the following of new nonresidential development via the code’s power allocation method:</w:t>
      </w:r>
    </w:p>
    <w:p w14:paraId="65540BC6" w14:textId="0C18FA54" w:rsidR="0EDF1649" w:rsidRDefault="0EDF1649" w:rsidP="0EDF1649">
      <w:pPr>
        <w:spacing w:line="259" w:lineRule="auto"/>
        <w:ind w:left="2160"/>
        <w:rPr>
          <w:rFonts w:eastAsia="Arial"/>
          <w:color w:val="000000" w:themeColor="text1"/>
        </w:rPr>
      </w:pPr>
    </w:p>
    <w:tbl>
      <w:tblPr>
        <w:tblStyle w:val="TableGrid"/>
        <w:tblW w:w="0" w:type="auto"/>
        <w:tblLayout w:type="fixed"/>
        <w:tblLook w:val="04A0" w:firstRow="1" w:lastRow="0" w:firstColumn="1" w:lastColumn="0" w:noHBand="0" w:noVBand="1"/>
      </w:tblPr>
      <w:tblGrid>
        <w:gridCol w:w="1440"/>
        <w:gridCol w:w="2505"/>
        <w:gridCol w:w="2520"/>
        <w:gridCol w:w="2700"/>
      </w:tblGrid>
      <w:tr w:rsidR="0EDF1649" w14:paraId="54E10B28" w14:textId="77777777" w:rsidTr="0EDF1649">
        <w:trPr>
          <w:trHeight w:val="300"/>
        </w:trPr>
        <w:tc>
          <w:tcPr>
            <w:tcW w:w="1440" w:type="dxa"/>
          </w:tcPr>
          <w:p w14:paraId="1B9CD3A1" w14:textId="5FC5381C" w:rsidR="0EDF1649" w:rsidRDefault="0EDF1649" w:rsidP="0EDF1649">
            <w:pPr>
              <w:spacing w:line="259" w:lineRule="auto"/>
              <w:jc w:val="center"/>
              <w:rPr>
                <w:rFonts w:eastAsia="Arial"/>
                <w:color w:val="000000" w:themeColor="text1"/>
              </w:rPr>
            </w:pPr>
            <w:r w:rsidRPr="0EDF1649">
              <w:rPr>
                <w:rFonts w:eastAsia="Arial"/>
                <w:b/>
                <w:bCs/>
                <w:color w:val="000000" w:themeColor="text1"/>
                <w:u w:val="single"/>
              </w:rPr>
              <w:t>FACILITY TYPE</w:t>
            </w:r>
          </w:p>
        </w:tc>
        <w:tc>
          <w:tcPr>
            <w:tcW w:w="2505" w:type="dxa"/>
          </w:tcPr>
          <w:p w14:paraId="58DF7135" w14:textId="311B2D6B" w:rsidR="0EDF1649" w:rsidRDefault="0EDF1649" w:rsidP="0EDF1649">
            <w:pPr>
              <w:spacing w:line="259" w:lineRule="auto"/>
              <w:jc w:val="center"/>
              <w:rPr>
                <w:rFonts w:eastAsia="Arial"/>
                <w:color w:val="000000" w:themeColor="text1"/>
                <w:sz w:val="19"/>
                <w:szCs w:val="19"/>
              </w:rPr>
            </w:pPr>
            <w:r w:rsidRPr="0EDF1649">
              <w:rPr>
                <w:rFonts w:eastAsia="Arial"/>
                <w:b/>
                <w:bCs/>
                <w:color w:val="000000" w:themeColor="text1"/>
                <w:u w:val="single"/>
              </w:rPr>
              <w:t>MINIMUM TOTAL kVA @ 6.6 kVA</w:t>
            </w:r>
            <w:r w:rsidRPr="0EDF1649">
              <w:rPr>
                <w:rFonts w:eastAsia="Arial"/>
                <w:b/>
                <w:bCs/>
                <w:color w:val="000000" w:themeColor="text1"/>
                <w:u w:val="single"/>
                <w:vertAlign w:val="superscript"/>
              </w:rPr>
              <w:t>1</w:t>
            </w:r>
          </w:p>
        </w:tc>
        <w:tc>
          <w:tcPr>
            <w:tcW w:w="2520" w:type="dxa"/>
          </w:tcPr>
          <w:p w14:paraId="4EF67A88" w14:textId="5CC7401C" w:rsidR="0EDF1649" w:rsidRDefault="0EDF1649" w:rsidP="0EDF1649">
            <w:pPr>
              <w:spacing w:line="259" w:lineRule="auto"/>
              <w:jc w:val="center"/>
              <w:rPr>
                <w:rFonts w:eastAsia="Arial"/>
                <w:color w:val="000000" w:themeColor="text1"/>
                <w:sz w:val="19"/>
                <w:szCs w:val="19"/>
              </w:rPr>
            </w:pPr>
            <w:r w:rsidRPr="0EDF1649">
              <w:rPr>
                <w:rFonts w:eastAsia="Arial"/>
                <w:b/>
                <w:bCs/>
                <w:color w:val="000000" w:themeColor="text1"/>
                <w:u w:val="single"/>
              </w:rPr>
              <w:t>MAXIMUM kVA ALLOWED FOR EV CAPABLE SPACES</w:t>
            </w:r>
            <w:r w:rsidRPr="0EDF1649">
              <w:rPr>
                <w:rFonts w:eastAsia="Arial"/>
                <w:b/>
                <w:bCs/>
                <w:color w:val="000000" w:themeColor="text1"/>
                <w:u w:val="single"/>
                <w:vertAlign w:val="superscript"/>
              </w:rPr>
              <w:t>1, 2</w:t>
            </w:r>
          </w:p>
        </w:tc>
        <w:tc>
          <w:tcPr>
            <w:tcW w:w="2700" w:type="dxa"/>
          </w:tcPr>
          <w:p w14:paraId="24FAAC5F" w14:textId="26B97650" w:rsidR="0EDF1649" w:rsidRDefault="0EDF1649" w:rsidP="0EDF1649">
            <w:pPr>
              <w:spacing w:line="259" w:lineRule="auto"/>
              <w:jc w:val="center"/>
              <w:rPr>
                <w:rFonts w:eastAsia="Arial"/>
                <w:color w:val="000000" w:themeColor="text1"/>
                <w:sz w:val="19"/>
                <w:szCs w:val="19"/>
              </w:rPr>
            </w:pPr>
            <w:r w:rsidRPr="0EDF1649">
              <w:rPr>
                <w:rFonts w:eastAsia="Arial"/>
                <w:b/>
                <w:bCs/>
                <w:color w:val="000000" w:themeColor="text1"/>
                <w:u w:val="single"/>
              </w:rPr>
              <w:t>MINIMUM kVA REQUIRED IN ANY COMBINATION OF LOW POWER LEVEL 2, LEVEL 2, OR DCFC</w:t>
            </w:r>
            <w:r w:rsidRPr="0EDF1649">
              <w:rPr>
                <w:rFonts w:eastAsia="Arial"/>
                <w:b/>
                <w:bCs/>
                <w:color w:val="000000" w:themeColor="text1"/>
                <w:u w:val="single"/>
                <w:vertAlign w:val="superscript"/>
              </w:rPr>
              <w:t xml:space="preserve">1, 3, </w:t>
            </w:r>
          </w:p>
        </w:tc>
      </w:tr>
      <w:tr w:rsidR="0EDF1649" w14:paraId="45B731BC" w14:textId="77777777" w:rsidTr="0EDF1649">
        <w:trPr>
          <w:trHeight w:val="300"/>
        </w:trPr>
        <w:tc>
          <w:tcPr>
            <w:tcW w:w="1440" w:type="dxa"/>
          </w:tcPr>
          <w:p w14:paraId="000BF66C" w14:textId="04EA5660" w:rsidR="0EDF1649" w:rsidRDefault="0EDF1649" w:rsidP="0EDF1649">
            <w:pPr>
              <w:spacing w:line="259" w:lineRule="auto"/>
              <w:jc w:val="center"/>
              <w:rPr>
                <w:rFonts w:eastAsia="Arial"/>
                <w:color w:val="000000" w:themeColor="text1"/>
              </w:rPr>
            </w:pPr>
            <w:r w:rsidRPr="0EDF1649">
              <w:rPr>
                <w:rFonts w:eastAsia="Arial"/>
                <w:b/>
                <w:bCs/>
                <w:color w:val="000000" w:themeColor="text1"/>
              </w:rPr>
              <w:lastRenderedPageBreak/>
              <w:t>Office &amp; Retail</w:t>
            </w:r>
          </w:p>
        </w:tc>
        <w:tc>
          <w:tcPr>
            <w:tcW w:w="2505" w:type="dxa"/>
          </w:tcPr>
          <w:p w14:paraId="1D177DCF" w14:textId="15A27F84" w:rsidR="0EDF1649" w:rsidRDefault="0EDF1649" w:rsidP="0EDF1649">
            <w:pPr>
              <w:spacing w:line="259" w:lineRule="auto"/>
              <w:jc w:val="center"/>
              <w:rPr>
                <w:rFonts w:eastAsia="Arial"/>
                <w:color w:val="000000" w:themeColor="text1"/>
              </w:rPr>
            </w:pPr>
            <w:r w:rsidRPr="0EDF1649">
              <w:rPr>
                <w:rFonts w:eastAsia="Arial"/>
                <w:color w:val="000000" w:themeColor="text1"/>
              </w:rPr>
              <w:t>45% of actual parking spaces x 6.6</w:t>
            </w:r>
          </w:p>
        </w:tc>
        <w:tc>
          <w:tcPr>
            <w:tcW w:w="2520" w:type="dxa"/>
          </w:tcPr>
          <w:p w14:paraId="5569C772" w14:textId="3A76E209" w:rsidR="0EDF1649" w:rsidRDefault="0EDF1649" w:rsidP="0EDF1649">
            <w:pPr>
              <w:spacing w:line="259" w:lineRule="auto"/>
              <w:jc w:val="center"/>
              <w:rPr>
                <w:rFonts w:eastAsia="Arial"/>
                <w:color w:val="000000" w:themeColor="text1"/>
              </w:rPr>
            </w:pPr>
            <w:r w:rsidRPr="0EDF1649">
              <w:rPr>
                <w:rFonts w:eastAsia="Arial"/>
                <w:color w:val="000000" w:themeColor="text1"/>
              </w:rPr>
              <w:t>11% of actual parking spaces x 6.6</w:t>
            </w:r>
          </w:p>
        </w:tc>
        <w:tc>
          <w:tcPr>
            <w:tcW w:w="2700" w:type="dxa"/>
          </w:tcPr>
          <w:p w14:paraId="5E0F74E8" w14:textId="0B3A9334" w:rsidR="0EDF1649" w:rsidRDefault="0EDF1649" w:rsidP="0EDF1649">
            <w:pPr>
              <w:spacing w:line="259" w:lineRule="auto"/>
              <w:jc w:val="center"/>
              <w:rPr>
                <w:rFonts w:eastAsia="Arial"/>
                <w:color w:val="000000" w:themeColor="text1"/>
              </w:rPr>
            </w:pPr>
            <w:r w:rsidRPr="0EDF1649">
              <w:rPr>
                <w:rFonts w:eastAsia="Arial"/>
                <w:color w:val="000000" w:themeColor="text1"/>
              </w:rPr>
              <w:t>34% of actual parking spaces x 6.6</w:t>
            </w:r>
          </w:p>
        </w:tc>
      </w:tr>
      <w:tr w:rsidR="0EDF1649" w14:paraId="7204F9C6" w14:textId="77777777" w:rsidTr="0EDF1649">
        <w:trPr>
          <w:trHeight w:val="300"/>
        </w:trPr>
        <w:tc>
          <w:tcPr>
            <w:tcW w:w="1440" w:type="dxa"/>
          </w:tcPr>
          <w:p w14:paraId="490D0870" w14:textId="0F74FF55" w:rsidR="0EDF1649" w:rsidRDefault="0EDF1649" w:rsidP="0EDF1649">
            <w:pPr>
              <w:spacing w:line="259" w:lineRule="auto"/>
              <w:jc w:val="center"/>
              <w:rPr>
                <w:rFonts w:eastAsia="Arial"/>
                <w:color w:val="000000" w:themeColor="text1"/>
              </w:rPr>
            </w:pPr>
            <w:r w:rsidRPr="0EDF1649">
              <w:rPr>
                <w:rFonts w:eastAsia="Arial"/>
                <w:b/>
                <w:bCs/>
                <w:color w:val="000000" w:themeColor="text1"/>
              </w:rPr>
              <w:t>All Other</w:t>
            </w:r>
          </w:p>
        </w:tc>
        <w:tc>
          <w:tcPr>
            <w:tcW w:w="2505" w:type="dxa"/>
          </w:tcPr>
          <w:p w14:paraId="7E693C4E" w14:textId="49FF9748" w:rsidR="0EDF1649" w:rsidRDefault="0EDF1649" w:rsidP="0EDF1649">
            <w:pPr>
              <w:spacing w:line="259" w:lineRule="auto"/>
              <w:jc w:val="center"/>
              <w:rPr>
                <w:rFonts w:eastAsia="Arial"/>
                <w:color w:val="000000" w:themeColor="text1"/>
              </w:rPr>
            </w:pPr>
            <w:r w:rsidRPr="0EDF1649">
              <w:rPr>
                <w:rFonts w:eastAsia="Arial"/>
                <w:color w:val="000000" w:themeColor="text1"/>
              </w:rPr>
              <w:t>45% of actual parking spaces x 6.6</w:t>
            </w:r>
          </w:p>
        </w:tc>
        <w:tc>
          <w:tcPr>
            <w:tcW w:w="2520" w:type="dxa"/>
          </w:tcPr>
          <w:p w14:paraId="555E82DD" w14:textId="78BAE8B0" w:rsidR="0EDF1649" w:rsidRDefault="0EDF1649" w:rsidP="0EDF1649">
            <w:pPr>
              <w:spacing w:line="259" w:lineRule="auto"/>
              <w:jc w:val="center"/>
              <w:rPr>
                <w:rFonts w:eastAsia="Arial"/>
                <w:color w:val="000000" w:themeColor="text1"/>
              </w:rPr>
            </w:pPr>
            <w:r w:rsidRPr="0EDF1649">
              <w:rPr>
                <w:rFonts w:eastAsia="Arial"/>
                <w:color w:val="000000" w:themeColor="text1"/>
              </w:rPr>
              <w:t>22% of actual parking spaces x 6.6</w:t>
            </w:r>
          </w:p>
        </w:tc>
        <w:tc>
          <w:tcPr>
            <w:tcW w:w="2700" w:type="dxa"/>
          </w:tcPr>
          <w:p w14:paraId="09A9F42C" w14:textId="74DA747D" w:rsidR="0EDF1649" w:rsidRDefault="0EDF1649" w:rsidP="0EDF1649">
            <w:pPr>
              <w:spacing w:line="259" w:lineRule="auto"/>
              <w:jc w:val="center"/>
              <w:rPr>
                <w:rFonts w:eastAsia="Arial"/>
                <w:color w:val="000000" w:themeColor="text1"/>
              </w:rPr>
            </w:pPr>
            <w:r w:rsidRPr="0EDF1649">
              <w:rPr>
                <w:rFonts w:eastAsia="Arial"/>
                <w:color w:val="000000" w:themeColor="text1"/>
              </w:rPr>
              <w:t>23% of actual parking spaces x 6.6</w:t>
            </w:r>
          </w:p>
        </w:tc>
      </w:tr>
    </w:tbl>
    <w:p w14:paraId="77A63C11" w14:textId="7AB700CB" w:rsidR="23F2B8BB" w:rsidRDefault="23F2B8BB" w:rsidP="23F2B8BB">
      <w:pPr>
        <w:contextualSpacing/>
        <w:jc w:val="both"/>
        <w:rPr>
          <w:rFonts w:eastAsia="Arial"/>
          <w:b/>
          <w:bCs/>
          <w:i/>
          <w:iCs/>
          <w:color w:val="000000" w:themeColor="text1"/>
        </w:rPr>
      </w:pPr>
    </w:p>
    <w:p w14:paraId="00A60183" w14:textId="2202C61B" w:rsidR="69F32F4C" w:rsidRDefault="381ADEEA" w:rsidP="0059513C">
      <w:pPr>
        <w:pStyle w:val="Heading2"/>
      </w:pPr>
      <w:r w:rsidRPr="00EF5702">
        <w:t>Existing Buildings</w:t>
      </w:r>
    </w:p>
    <w:p w14:paraId="4AA095AB" w14:textId="77777777" w:rsidR="00EF5702" w:rsidRPr="00EF5702" w:rsidRDefault="00EF5702" w:rsidP="23F2B8BB">
      <w:pPr>
        <w:contextualSpacing/>
        <w:jc w:val="both"/>
        <w:rPr>
          <w:rFonts w:eastAsia="Arial"/>
          <w:color w:val="000000" w:themeColor="text1"/>
          <w:u w:val="single"/>
        </w:rPr>
      </w:pPr>
    </w:p>
    <w:p w14:paraId="3D976C58" w14:textId="399F4283" w:rsidR="006C5224" w:rsidRDefault="006C5224" w:rsidP="006C5224">
      <w:pPr>
        <w:contextualSpacing/>
        <w:jc w:val="both"/>
      </w:pPr>
      <w:r>
        <w:t xml:space="preserve">Where required by state law, these </w:t>
      </w:r>
      <w:r w:rsidR="001D7996">
        <w:t xml:space="preserve">code requirements </w:t>
      </w:r>
      <w:r>
        <w:t>can apply to renovations, alterations and additions to existing multifamily, hotels, motels and nonresidential buildings when meeting certain thresholds. On the applicability for nonresidential alterations and additions, Section 301.3 of the 2022 Building Code states the following:</w:t>
      </w:r>
    </w:p>
    <w:p w14:paraId="752433BF" w14:textId="77777777" w:rsidR="006C5224" w:rsidRDefault="006C5224" w:rsidP="006C5224">
      <w:pPr>
        <w:contextualSpacing/>
        <w:jc w:val="both"/>
      </w:pPr>
    </w:p>
    <w:p w14:paraId="08E2270B" w14:textId="77777777" w:rsidR="006C5224" w:rsidRPr="00735D12" w:rsidRDefault="006C5224" w:rsidP="006C5224">
      <w:pPr>
        <w:ind w:left="720"/>
        <w:contextualSpacing/>
        <w:jc w:val="both"/>
        <w:rPr>
          <w:i/>
        </w:rPr>
      </w:pPr>
      <w:r w:rsidRPr="077C5881">
        <w:rPr>
          <w:i/>
        </w:rPr>
        <w:t>[BSC-CG] The provisions of individual sections of Chapter 5 apply to newly constructed buildings, building additions of 1,000 square feet or greater, and/or building alterations with a permit valuation of $200,000 or above (for occupancies within the authority of California Building Standards Commission). Code sections relevant to additions and alterations shall only apply to the portions of the building being added or altered within the scope of the permitted work.</w:t>
      </w:r>
    </w:p>
    <w:p w14:paraId="67007FD3" w14:textId="77777777" w:rsidR="006C5224" w:rsidRDefault="006C5224" w:rsidP="006C5224">
      <w:pPr>
        <w:contextualSpacing/>
        <w:jc w:val="both"/>
      </w:pPr>
    </w:p>
    <w:p w14:paraId="1934AFA6" w14:textId="4A904C95" w:rsidR="006C5224" w:rsidRPr="00DC461A" w:rsidRDefault="006C5224" w:rsidP="006C5224">
      <w:pPr>
        <w:contextualSpacing/>
        <w:jc w:val="both"/>
      </w:pPr>
      <w:r>
        <w:t xml:space="preserve">There are additional triggers related to EV charging infrastructure </w:t>
      </w:r>
      <w:r w:rsidR="00B54E70">
        <w:t xml:space="preserve">included </w:t>
      </w:r>
      <w:r>
        <w:t xml:space="preserve">within the State’s code that seek to improve access when it is most advantageous in the process of renovation. It is important to note that </w:t>
      </w:r>
      <w:r w:rsidR="00177046">
        <w:t>most</w:t>
      </w:r>
      <w:r>
        <w:t xml:space="preserve"> of these thresholds are already required by the 2022 </w:t>
      </w:r>
      <w:r w:rsidR="00C90DD4">
        <w:t>CALGreen</w:t>
      </w:r>
      <w:r>
        <w:t xml:space="preserve"> Intervening Code,</w:t>
      </w:r>
      <w:r w:rsidR="00177046">
        <w:t xml:space="preserve"> with only </w:t>
      </w:r>
      <w:r w:rsidR="003F0D2D">
        <w:t xml:space="preserve">one being added by the </w:t>
      </w:r>
      <w:r w:rsidR="00DC461A">
        <w:t>r</w:t>
      </w:r>
      <w:r w:rsidR="00732C89">
        <w:t>each code</w:t>
      </w:r>
      <w:r w:rsidR="003F0D2D">
        <w:t>, as noted below</w:t>
      </w:r>
      <w:r>
        <w:t>:</w:t>
      </w:r>
    </w:p>
    <w:p w14:paraId="15433FA9" w14:textId="77777777" w:rsidR="006C5224" w:rsidRDefault="006C5224" w:rsidP="006C5224">
      <w:pPr>
        <w:contextualSpacing/>
        <w:jc w:val="both"/>
      </w:pPr>
    </w:p>
    <w:p w14:paraId="4FEDED64" w14:textId="77777777" w:rsidR="006C5224" w:rsidRPr="007B6D19" w:rsidRDefault="006C5224" w:rsidP="006C5224">
      <w:pPr>
        <w:pStyle w:val="ListParagraph"/>
        <w:numPr>
          <w:ilvl w:val="0"/>
          <w:numId w:val="1"/>
        </w:numPr>
        <w:jc w:val="both"/>
        <w:rPr>
          <w:rFonts w:eastAsia="Arial"/>
          <w:color w:val="000000" w:themeColor="text1"/>
        </w:rPr>
      </w:pPr>
      <w:r w:rsidRPr="007B6D19">
        <w:rPr>
          <w:rFonts w:eastAsia="Arial"/>
          <w:color w:val="000000" w:themeColor="text1"/>
        </w:rPr>
        <w:t xml:space="preserve">When the scope of construction work includes an increase or alteration to power supply to an electric service panel as part of a parking facility addition or alteration. </w:t>
      </w:r>
    </w:p>
    <w:p w14:paraId="75B8FB9A" w14:textId="77777777" w:rsidR="006C5224" w:rsidRPr="007B6D19" w:rsidRDefault="006C5224" w:rsidP="006C5224">
      <w:pPr>
        <w:pStyle w:val="ListParagraph"/>
        <w:numPr>
          <w:ilvl w:val="0"/>
          <w:numId w:val="1"/>
        </w:numPr>
        <w:jc w:val="both"/>
        <w:rPr>
          <w:rFonts w:eastAsia="Arial"/>
          <w:color w:val="000000" w:themeColor="text1"/>
        </w:rPr>
      </w:pPr>
      <w:r w:rsidRPr="007B6D19">
        <w:rPr>
          <w:rFonts w:eastAsia="Arial"/>
          <w:color w:val="000000" w:themeColor="text1"/>
        </w:rPr>
        <w:t xml:space="preserve">When a new photovoltaic system is installed covering existing parking spaces. </w:t>
      </w:r>
    </w:p>
    <w:p w14:paraId="549940D3" w14:textId="77777777" w:rsidR="006C5224" w:rsidRPr="00527CF1" w:rsidRDefault="006C5224" w:rsidP="006C5224">
      <w:pPr>
        <w:pStyle w:val="ListParagraph"/>
        <w:numPr>
          <w:ilvl w:val="0"/>
          <w:numId w:val="1"/>
        </w:numPr>
        <w:jc w:val="both"/>
        <w:rPr>
          <w:rFonts w:eastAsia="Arial"/>
          <w:color w:val="000000" w:themeColor="text1"/>
        </w:rPr>
      </w:pPr>
      <w:r w:rsidRPr="007B6D19">
        <w:rPr>
          <w:rFonts w:eastAsia="Arial"/>
          <w:color w:val="000000" w:themeColor="text1"/>
        </w:rPr>
        <w:t xml:space="preserve">When additions or alterations to existing buildings are triggered pursuant to code Section 301.1 and the scope of work includes an increase in power supply to an electric service panel. </w:t>
      </w:r>
    </w:p>
    <w:p w14:paraId="52325DA2" w14:textId="5B227F57" w:rsidR="784DC941" w:rsidRDefault="00732C89" w:rsidP="23F2B8BB">
      <w:pPr>
        <w:pStyle w:val="ListParagraph"/>
        <w:numPr>
          <w:ilvl w:val="0"/>
          <w:numId w:val="1"/>
        </w:numPr>
        <w:jc w:val="both"/>
        <w:rPr>
          <w:rFonts w:eastAsia="Arial"/>
          <w:color w:val="000000" w:themeColor="text1"/>
        </w:rPr>
      </w:pPr>
      <w:r>
        <w:rPr>
          <w:rFonts w:eastAsia="Arial"/>
          <w:b/>
          <w:bCs/>
          <w:color w:val="000000" w:themeColor="text1"/>
        </w:rPr>
        <w:t>Reach code</w:t>
      </w:r>
      <w:r w:rsidR="406D7C95" w:rsidRPr="0EDF1649">
        <w:rPr>
          <w:rFonts w:eastAsia="Arial"/>
          <w:b/>
          <w:bCs/>
          <w:color w:val="000000" w:themeColor="text1"/>
        </w:rPr>
        <w:t xml:space="preserve">: </w:t>
      </w:r>
      <w:r w:rsidR="79EA2601" w:rsidRPr="0EDF1649">
        <w:rPr>
          <w:rFonts w:eastAsia="Arial"/>
          <w:color w:val="000000" w:themeColor="text1"/>
        </w:rPr>
        <w:t>Addition of parking facilities or alterations that include breaking ground on existing parking surfaces</w:t>
      </w:r>
      <w:r w:rsidR="6C0A255A" w:rsidRPr="0EDF1649">
        <w:rPr>
          <w:rFonts w:eastAsia="Arial"/>
          <w:color w:val="000000" w:themeColor="text1"/>
        </w:rPr>
        <w:t xml:space="preserve">. </w:t>
      </w:r>
      <w:r w:rsidR="79EA2601" w:rsidRPr="0EDF1649">
        <w:rPr>
          <w:rFonts w:eastAsia="Arial"/>
          <w:color w:val="000000" w:themeColor="text1"/>
        </w:rPr>
        <w:t>Green Building Code Section 301.1.1 states what is considered an alteration of an existing parking surface.</w:t>
      </w:r>
    </w:p>
    <w:p w14:paraId="3A2B1E61" w14:textId="2EA9CBA5" w:rsidR="23F2B8BB" w:rsidRDefault="23F2B8BB" w:rsidP="23F2B8BB">
      <w:pPr>
        <w:contextualSpacing/>
        <w:jc w:val="both"/>
        <w:rPr>
          <w:rFonts w:eastAsia="Arial"/>
          <w:color w:val="000000" w:themeColor="text1"/>
        </w:rPr>
      </w:pPr>
    </w:p>
    <w:p w14:paraId="5BE8E0DB" w14:textId="22D97F4A" w:rsidR="004E704D" w:rsidRDefault="004E704D" w:rsidP="004E704D">
      <w:pPr>
        <w:contextualSpacing/>
        <w:jc w:val="both"/>
      </w:pPr>
      <w:r>
        <w:t>Increasing the EV charging requirements for each building sector will have financial impacts on developers who are proposing renovation projects for existing buildings that would trigger code provisions. The most cost-effective time for installing EV charging infrastructure is when a project is being built (i.e., new construction), whereas retrofitting existing buildings can pose financial impacts to developers when potentially triggering these provisions in the State code, particularly for nonresidential developments. Common installation cost drivers could include:</w:t>
      </w:r>
    </w:p>
    <w:p w14:paraId="10071751" w14:textId="77777777" w:rsidR="004E704D" w:rsidRDefault="004E704D" w:rsidP="004E704D">
      <w:pPr>
        <w:contextualSpacing/>
        <w:jc w:val="both"/>
      </w:pPr>
    </w:p>
    <w:p w14:paraId="7B162529" w14:textId="77777777" w:rsidR="004E704D" w:rsidRPr="00C5346D" w:rsidRDefault="004E704D" w:rsidP="004E704D">
      <w:pPr>
        <w:pStyle w:val="ListParagraph"/>
        <w:numPr>
          <w:ilvl w:val="0"/>
          <w:numId w:val="44"/>
        </w:numPr>
        <w:jc w:val="both"/>
        <w:rPr>
          <w:rFonts w:eastAsia="Arial"/>
          <w:color w:val="000000" w:themeColor="text1"/>
        </w:rPr>
      </w:pPr>
      <w:r>
        <w:t>Trenching or boring a long distance to lay electrical supply conduit from the transformer to the electrical panel or from the electrical panel to the charging location;</w:t>
      </w:r>
    </w:p>
    <w:p w14:paraId="1B9C9294" w14:textId="77777777" w:rsidR="004E704D" w:rsidRPr="00C5346D" w:rsidRDefault="004E704D" w:rsidP="004E704D">
      <w:pPr>
        <w:pStyle w:val="ListParagraph"/>
        <w:numPr>
          <w:ilvl w:val="0"/>
          <w:numId w:val="44"/>
        </w:numPr>
        <w:jc w:val="both"/>
        <w:rPr>
          <w:rFonts w:eastAsia="Arial"/>
          <w:color w:val="000000" w:themeColor="text1"/>
        </w:rPr>
      </w:pPr>
      <w:r>
        <w:lastRenderedPageBreak/>
        <w:t>Modifying or upgrading the electrical panel to create dedicated circuits for each EVSE unit if none are already available;</w:t>
      </w:r>
    </w:p>
    <w:p w14:paraId="60AFF4D5" w14:textId="77777777" w:rsidR="004E704D" w:rsidRPr="00C5346D" w:rsidRDefault="004E704D" w:rsidP="004E704D">
      <w:pPr>
        <w:pStyle w:val="ListParagraph"/>
        <w:numPr>
          <w:ilvl w:val="0"/>
          <w:numId w:val="44"/>
        </w:numPr>
        <w:jc w:val="both"/>
        <w:rPr>
          <w:rFonts w:eastAsia="Arial"/>
          <w:color w:val="000000" w:themeColor="text1"/>
        </w:rPr>
      </w:pPr>
      <w:r>
        <w:t>Upgrading the electrical service to provide sufficient electrical capacity for the site;</w:t>
      </w:r>
    </w:p>
    <w:p w14:paraId="59506AA4" w14:textId="77777777" w:rsidR="004E704D" w:rsidRPr="00C5346D" w:rsidRDefault="004E704D" w:rsidP="004E704D">
      <w:pPr>
        <w:pStyle w:val="ListParagraph"/>
        <w:numPr>
          <w:ilvl w:val="0"/>
          <w:numId w:val="44"/>
        </w:numPr>
        <w:jc w:val="both"/>
        <w:rPr>
          <w:rFonts w:eastAsia="Arial"/>
          <w:color w:val="000000" w:themeColor="text1"/>
        </w:rPr>
      </w:pPr>
      <w:r>
        <w:t>Locating EVSE on parking levels above or below the level with electrical service; and/or</w:t>
      </w:r>
    </w:p>
    <w:p w14:paraId="7D17F88E" w14:textId="77777777" w:rsidR="004E704D" w:rsidRPr="00C5346D" w:rsidRDefault="004E704D" w:rsidP="004E704D">
      <w:pPr>
        <w:pStyle w:val="ListParagraph"/>
        <w:numPr>
          <w:ilvl w:val="0"/>
          <w:numId w:val="44"/>
        </w:numPr>
        <w:jc w:val="both"/>
        <w:rPr>
          <w:rFonts w:eastAsia="Arial"/>
          <w:color w:val="000000" w:themeColor="text1"/>
        </w:rPr>
      </w:pPr>
      <w:r>
        <w:t xml:space="preserve">Meeting ADA accessibility requirements such as ensuring the parking spaces are level. </w:t>
      </w:r>
    </w:p>
    <w:p w14:paraId="1BA75DC5" w14:textId="77777777" w:rsidR="004E704D" w:rsidRDefault="004E704D" w:rsidP="004E704D">
      <w:pPr>
        <w:jc w:val="both"/>
      </w:pPr>
    </w:p>
    <w:p w14:paraId="7EC4FD8B" w14:textId="65BE84F7" w:rsidR="004E704D" w:rsidRPr="00C5346D" w:rsidRDefault="004E704D" w:rsidP="004E704D">
      <w:pPr>
        <w:jc w:val="both"/>
        <w:rPr>
          <w:rFonts w:eastAsia="Arial"/>
          <w:color w:val="000000" w:themeColor="text1"/>
        </w:rPr>
      </w:pPr>
      <w:r>
        <w:t xml:space="preserve">With these considerations in mind, there are exceptions related to utility infrastructure costs and feasibility </w:t>
      </w:r>
      <w:r w:rsidR="00CB2FDD">
        <w:t>included within</w:t>
      </w:r>
      <w:r>
        <w:t xml:space="preserve"> the State-required and </w:t>
      </w:r>
      <w:r w:rsidR="00732C89">
        <w:t>reach code</w:t>
      </w:r>
      <w:r>
        <w:t>.</w:t>
      </w:r>
    </w:p>
    <w:p w14:paraId="4510ABEE" w14:textId="77777777" w:rsidR="004E704D" w:rsidRDefault="004E704D" w:rsidP="23F2B8BB">
      <w:pPr>
        <w:contextualSpacing/>
        <w:jc w:val="both"/>
        <w:rPr>
          <w:rFonts w:eastAsia="Arial"/>
          <w:color w:val="000000" w:themeColor="text1"/>
        </w:rPr>
      </w:pPr>
    </w:p>
    <w:p w14:paraId="371309CE" w14:textId="0E3876D4" w:rsidR="23F2B8BB" w:rsidRDefault="05205571" w:rsidP="0059513C">
      <w:pPr>
        <w:pStyle w:val="Heading2"/>
      </w:pPr>
      <w:r w:rsidRPr="00EF5702">
        <w:t>Exceptions</w:t>
      </w:r>
    </w:p>
    <w:p w14:paraId="0267FC51" w14:textId="77777777" w:rsidR="00EF5702" w:rsidRPr="00EF5702" w:rsidRDefault="00EF5702" w:rsidP="23F2B8BB">
      <w:pPr>
        <w:contextualSpacing/>
        <w:jc w:val="both"/>
        <w:rPr>
          <w:u w:val="single"/>
        </w:rPr>
      </w:pPr>
    </w:p>
    <w:p w14:paraId="13471BB1" w14:textId="7503D84D" w:rsidR="001D6556" w:rsidRPr="007B6D19" w:rsidRDefault="001D6556" w:rsidP="001D6556">
      <w:pPr>
        <w:contextualSpacing/>
        <w:jc w:val="both"/>
        <w:rPr>
          <w:rFonts w:eastAsia="Arial"/>
          <w:color w:val="000000" w:themeColor="text1"/>
        </w:rPr>
      </w:pPr>
      <w:r>
        <w:rPr>
          <w:rFonts w:eastAsia="Arial"/>
          <w:color w:val="000000" w:themeColor="text1"/>
        </w:rPr>
        <w:t xml:space="preserve">The State’s requirements lay out circumstances where exceptions may be granted, and the proposed EV </w:t>
      </w:r>
      <w:r w:rsidR="00732C89">
        <w:rPr>
          <w:rFonts w:eastAsia="Arial"/>
          <w:color w:val="000000" w:themeColor="text1"/>
        </w:rPr>
        <w:t>reach code</w:t>
      </w:r>
      <w:r>
        <w:rPr>
          <w:rFonts w:eastAsia="Arial"/>
          <w:color w:val="000000" w:themeColor="text1"/>
        </w:rPr>
        <w:t xml:space="preserve"> includes</w:t>
      </w:r>
      <w:r w:rsidRPr="5F5FF755">
        <w:rPr>
          <w:rFonts w:eastAsia="Arial"/>
          <w:color w:val="000000" w:themeColor="text1"/>
        </w:rPr>
        <w:t xml:space="preserve"> a singular adjustment.</w:t>
      </w:r>
      <w:r>
        <w:rPr>
          <w:rFonts w:eastAsia="Arial"/>
          <w:color w:val="000000" w:themeColor="text1"/>
        </w:rPr>
        <w:t xml:space="preserve"> </w:t>
      </w:r>
      <w:r w:rsidRPr="007B6D19">
        <w:rPr>
          <w:rFonts w:eastAsia="Arial"/>
          <w:color w:val="000000" w:themeColor="text1"/>
        </w:rPr>
        <w:t xml:space="preserve">Exceptions to the applicability of the </w:t>
      </w:r>
      <w:r w:rsidR="00DC461A">
        <w:rPr>
          <w:rFonts w:eastAsia="Arial"/>
          <w:color w:val="000000" w:themeColor="text1"/>
        </w:rPr>
        <w:t>r</w:t>
      </w:r>
      <w:r w:rsidR="00732C89">
        <w:rPr>
          <w:rFonts w:eastAsia="Arial"/>
          <w:color w:val="000000" w:themeColor="text1"/>
        </w:rPr>
        <w:t>each code</w:t>
      </w:r>
      <w:r w:rsidRPr="007B6D19">
        <w:rPr>
          <w:rFonts w:eastAsia="Arial"/>
          <w:color w:val="000000" w:themeColor="text1"/>
        </w:rPr>
        <w:t xml:space="preserve"> are on a case-by-case basis. </w:t>
      </w:r>
      <w:r w:rsidR="00013989">
        <w:rPr>
          <w:rFonts w:eastAsia="Arial"/>
          <w:color w:val="000000" w:themeColor="text1"/>
        </w:rPr>
        <w:t>Building official</w:t>
      </w:r>
      <w:r w:rsidR="00A80851">
        <w:rPr>
          <w:rFonts w:eastAsia="Arial"/>
          <w:color w:val="000000" w:themeColor="text1"/>
        </w:rPr>
        <w:t>s may grant an</w:t>
      </w:r>
      <w:r w:rsidR="00013989" w:rsidRPr="007B6D19">
        <w:rPr>
          <w:rFonts w:eastAsia="Arial"/>
          <w:color w:val="000000" w:themeColor="text1"/>
        </w:rPr>
        <w:t xml:space="preserve"> </w:t>
      </w:r>
      <w:r w:rsidRPr="007B6D19">
        <w:rPr>
          <w:rFonts w:eastAsia="Arial"/>
          <w:color w:val="000000" w:themeColor="text1"/>
        </w:rPr>
        <w:t xml:space="preserve">exception in the case of infeasibility due to the following conditions: </w:t>
      </w:r>
    </w:p>
    <w:p w14:paraId="29FE0B8D" w14:textId="77777777" w:rsidR="001D6556" w:rsidRPr="007B6D19" w:rsidRDefault="001D6556" w:rsidP="001D6556">
      <w:pPr>
        <w:contextualSpacing/>
        <w:jc w:val="both"/>
        <w:rPr>
          <w:rFonts w:eastAsia="Arial"/>
          <w:color w:val="000000" w:themeColor="text1"/>
        </w:rPr>
      </w:pPr>
    </w:p>
    <w:p w14:paraId="120DE72F" w14:textId="77777777" w:rsidR="001D6556" w:rsidRPr="007B6D19" w:rsidRDefault="001D6556" w:rsidP="001D6556">
      <w:pPr>
        <w:pStyle w:val="ListParagraph"/>
        <w:numPr>
          <w:ilvl w:val="0"/>
          <w:numId w:val="2"/>
        </w:numPr>
        <w:jc w:val="both"/>
        <w:rPr>
          <w:rFonts w:eastAsia="Arial"/>
          <w:color w:val="000000" w:themeColor="text1"/>
        </w:rPr>
      </w:pPr>
      <w:r w:rsidRPr="007B6D19">
        <w:rPr>
          <w:rFonts w:eastAsia="Arial"/>
          <w:color w:val="000000" w:themeColor="text1"/>
        </w:rPr>
        <w:t xml:space="preserve">Where there is no local utility power supply. </w:t>
      </w:r>
    </w:p>
    <w:p w14:paraId="3A6AAA13" w14:textId="77777777" w:rsidR="001D6556" w:rsidRPr="00D86C78" w:rsidRDefault="001D6556" w:rsidP="001D6556">
      <w:pPr>
        <w:pStyle w:val="ListParagraph"/>
        <w:numPr>
          <w:ilvl w:val="0"/>
          <w:numId w:val="2"/>
        </w:numPr>
        <w:jc w:val="both"/>
        <w:rPr>
          <w:rFonts w:eastAsia="Arial"/>
          <w:color w:val="000000" w:themeColor="text1"/>
        </w:rPr>
      </w:pPr>
      <w:r w:rsidRPr="007B6D19">
        <w:rPr>
          <w:rFonts w:eastAsia="Arial"/>
          <w:color w:val="000000" w:themeColor="text1"/>
        </w:rPr>
        <w:t xml:space="preserve">Where the local utility is unable to supply adequate power. </w:t>
      </w:r>
    </w:p>
    <w:p w14:paraId="290B76FE" w14:textId="77777777" w:rsidR="001D6556" w:rsidRPr="007B6D19" w:rsidRDefault="001D6556" w:rsidP="001D6556">
      <w:pPr>
        <w:pStyle w:val="ListParagraph"/>
        <w:numPr>
          <w:ilvl w:val="0"/>
          <w:numId w:val="2"/>
        </w:numPr>
        <w:jc w:val="both"/>
        <w:rPr>
          <w:rFonts w:eastAsia="Arial"/>
          <w:color w:val="000000" w:themeColor="text1"/>
        </w:rPr>
      </w:pPr>
      <w:r w:rsidRPr="007B6D19">
        <w:rPr>
          <w:rFonts w:eastAsia="Arial"/>
          <w:color w:val="000000" w:themeColor="text1"/>
        </w:rPr>
        <w:t>Where demonstrated as impracticable excluding local utility service or utility infrastructure issues.</w:t>
      </w:r>
    </w:p>
    <w:p w14:paraId="37E0AAD1" w14:textId="77777777" w:rsidR="001D6556" w:rsidRPr="007B6D19" w:rsidRDefault="001D6556" w:rsidP="001D6556">
      <w:pPr>
        <w:pStyle w:val="ListParagraph"/>
        <w:numPr>
          <w:ilvl w:val="0"/>
          <w:numId w:val="2"/>
        </w:numPr>
        <w:jc w:val="both"/>
        <w:rPr>
          <w:rFonts w:eastAsia="Arial"/>
          <w:color w:val="000000" w:themeColor="text1"/>
        </w:rPr>
      </w:pPr>
      <w:r w:rsidRPr="007B6D19">
        <w:rPr>
          <w:color w:val="000000" w:themeColor="text1"/>
        </w:rPr>
        <w:t>Accessory Dwelling Units (ADU) and Junior Accessory Dwelling Units (JADU) without additional parking facilities and without electrical panel upgrade or new panel installation. Detached ADUs, attached ADUs, and JADUs without additional parking but with electrical panel upgrades or new panels must have reserved breakers and electrical capacity according to the requirements of 4.106.4.1.</w:t>
      </w:r>
    </w:p>
    <w:p w14:paraId="4105E4C6" w14:textId="77777777" w:rsidR="001D6556" w:rsidRPr="007B6D19" w:rsidRDefault="001D6556" w:rsidP="001D6556">
      <w:pPr>
        <w:contextualSpacing/>
        <w:jc w:val="both"/>
        <w:rPr>
          <w:rFonts w:eastAsia="Arial"/>
          <w:color w:val="000000" w:themeColor="text1"/>
        </w:rPr>
      </w:pPr>
    </w:p>
    <w:p w14:paraId="1A265966" w14:textId="7828EE4C" w:rsidR="001D6556" w:rsidRPr="007B6D19" w:rsidRDefault="001D6556" w:rsidP="001D6556">
      <w:pPr>
        <w:contextualSpacing/>
        <w:jc w:val="both"/>
        <w:rPr>
          <w:rFonts w:eastAsia="Arial"/>
          <w:color w:val="000000" w:themeColor="text1"/>
        </w:rPr>
      </w:pPr>
      <w:r w:rsidRPr="5F5FF755">
        <w:rPr>
          <w:rFonts w:eastAsia="Arial"/>
          <w:color w:val="000000" w:themeColor="text1"/>
        </w:rPr>
        <w:t>Additional exceptions included in the state building code that</w:t>
      </w:r>
      <w:r w:rsidRPr="007B6D19">
        <w:rPr>
          <w:rFonts w:eastAsia="Arial"/>
          <w:color w:val="000000" w:themeColor="text1"/>
        </w:rPr>
        <w:t xml:space="preserve"> may be granted in the case of remote parking facilities that do not have access to a building service panel, in the</w:t>
      </w:r>
      <w:r w:rsidR="00B13083">
        <w:rPr>
          <w:rFonts w:eastAsia="Arial"/>
          <w:color w:val="000000" w:themeColor="text1"/>
        </w:rPr>
        <w:t xml:space="preserve"> case of</w:t>
      </w:r>
      <w:r w:rsidRPr="007B6D19">
        <w:rPr>
          <w:rFonts w:eastAsia="Arial"/>
          <w:color w:val="000000" w:themeColor="text1"/>
        </w:rPr>
        <w:t xml:space="preserve"> parking area lighting upgrades where no trenching is part of the scope of work, and during emergency repairs, including but not limited to water line break in parking facilities, or natural disaster repairs.</w:t>
      </w:r>
    </w:p>
    <w:p w14:paraId="4C404CE2" w14:textId="77777777" w:rsidR="001D6556" w:rsidRDefault="001D6556" w:rsidP="001D6556">
      <w:pPr>
        <w:contextualSpacing/>
        <w:jc w:val="both"/>
        <w:rPr>
          <w:rFonts w:eastAsia="Arial"/>
          <w:color w:val="000000" w:themeColor="text1"/>
        </w:rPr>
      </w:pPr>
    </w:p>
    <w:p w14:paraId="59D26818" w14:textId="3F2F087B" w:rsidR="001D6556" w:rsidRDefault="001D6556" w:rsidP="001D6556">
      <w:pPr>
        <w:contextualSpacing/>
        <w:jc w:val="both"/>
        <w:rPr>
          <w:rFonts w:eastAsia="Arial"/>
          <w:color w:val="000000" w:themeColor="text1"/>
        </w:rPr>
      </w:pPr>
      <w:r w:rsidRPr="5F5FF755">
        <w:rPr>
          <w:rFonts w:eastAsia="Arial"/>
          <w:color w:val="000000" w:themeColor="text1"/>
        </w:rPr>
        <w:t xml:space="preserve">The one </w:t>
      </w:r>
      <w:r w:rsidRPr="4EF0852F">
        <w:rPr>
          <w:rFonts w:eastAsia="Arial"/>
          <w:color w:val="000000" w:themeColor="text1"/>
        </w:rPr>
        <w:t>addition</w:t>
      </w:r>
      <w:r w:rsidRPr="5F5FF755">
        <w:rPr>
          <w:rFonts w:eastAsia="Arial"/>
          <w:color w:val="000000" w:themeColor="text1"/>
        </w:rPr>
        <w:t xml:space="preserve"> to exceptions provided in </w:t>
      </w:r>
      <w:r w:rsidRPr="5F5FF755" w:rsidDel="00D86C78">
        <w:rPr>
          <w:rFonts w:eastAsia="Arial"/>
          <w:color w:val="000000" w:themeColor="text1"/>
        </w:rPr>
        <w:t xml:space="preserve">the </w:t>
      </w:r>
      <w:r w:rsidR="00732C89">
        <w:rPr>
          <w:rFonts w:eastAsia="Arial"/>
          <w:color w:val="000000" w:themeColor="text1"/>
        </w:rPr>
        <w:t>reach code</w:t>
      </w:r>
      <w:r w:rsidRPr="5F5FF755">
        <w:rPr>
          <w:rFonts w:eastAsia="Arial"/>
          <w:color w:val="000000" w:themeColor="text1"/>
        </w:rPr>
        <w:t xml:space="preserve"> is the following:</w:t>
      </w:r>
    </w:p>
    <w:p w14:paraId="77F0536E" w14:textId="77777777" w:rsidR="001D6556" w:rsidRDefault="001D6556" w:rsidP="001D6556">
      <w:pPr>
        <w:contextualSpacing/>
        <w:jc w:val="both"/>
        <w:rPr>
          <w:rFonts w:eastAsia="Arial"/>
          <w:color w:val="000000" w:themeColor="text1"/>
        </w:rPr>
      </w:pPr>
    </w:p>
    <w:p w14:paraId="28D0EB3C" w14:textId="2CF393A1" w:rsidR="23F2B8BB" w:rsidRPr="00D5041A" w:rsidRDefault="001D6556" w:rsidP="003852DC">
      <w:pPr>
        <w:pStyle w:val="ListParagraph"/>
        <w:numPr>
          <w:ilvl w:val="0"/>
          <w:numId w:val="2"/>
        </w:numPr>
        <w:jc w:val="both"/>
        <w:rPr>
          <w:rFonts w:eastAsia="Arial"/>
          <w:b/>
          <w:bCs/>
          <w:i/>
          <w:iCs/>
          <w:color w:val="000000" w:themeColor="text1"/>
        </w:rPr>
      </w:pPr>
      <w:r w:rsidRPr="5F5FF755">
        <w:rPr>
          <w:rFonts w:eastAsia="Arial"/>
          <w:color w:val="000000" w:themeColor="text1"/>
        </w:rPr>
        <w:t>Where there is evidence suitable to the local enforcement agency substantiating that additional local utility infrastructure design requirements, directly related to the implementation of Section 4.106.4.3, may increase construction cost by an average of $4,500 per parking space. EV infrastructure shall be provided up to the level that would not exceed this cost</w:t>
      </w:r>
      <w:r w:rsidR="00A96664">
        <w:rPr>
          <w:rFonts w:eastAsia="Arial"/>
          <w:color w:val="000000" w:themeColor="text1"/>
        </w:rPr>
        <w:t xml:space="preserve"> per space</w:t>
      </w:r>
      <w:r w:rsidRPr="5F5FF755">
        <w:rPr>
          <w:rFonts w:eastAsia="Arial"/>
          <w:color w:val="000000" w:themeColor="text1"/>
        </w:rPr>
        <w:t xml:space="preserve"> for utility service. This is an adjustment to the 2022 Intervening Code that stipulates that an exception may be granted where there is “an adverse impact to the construction cost</w:t>
      </w:r>
      <w:r w:rsidR="004A075C">
        <w:rPr>
          <w:rFonts w:eastAsia="Arial"/>
          <w:color w:val="000000" w:themeColor="text1"/>
        </w:rPr>
        <w:t>.</w:t>
      </w:r>
      <w:r w:rsidRPr="5F5FF755">
        <w:rPr>
          <w:rFonts w:eastAsia="Arial"/>
          <w:color w:val="000000" w:themeColor="text1"/>
        </w:rPr>
        <w:t xml:space="preserve">” </w:t>
      </w:r>
      <w:r w:rsidR="004A075C">
        <w:rPr>
          <w:rFonts w:eastAsia="Arial"/>
          <w:color w:val="000000" w:themeColor="text1"/>
        </w:rPr>
        <w:t>S</w:t>
      </w:r>
      <w:r w:rsidRPr="5F5FF755">
        <w:rPr>
          <w:rFonts w:eastAsia="Arial"/>
          <w:color w:val="000000" w:themeColor="text1"/>
        </w:rPr>
        <w:t xml:space="preserve">taff suggests the City Council define to mean construction costs to exceed $4,500 per parking space. Providing an exact number for evaluation of cost impacts reduces ambiguity for building </w:t>
      </w:r>
      <w:r w:rsidR="007D1824">
        <w:rPr>
          <w:rFonts w:eastAsia="Arial"/>
          <w:color w:val="000000" w:themeColor="text1"/>
        </w:rPr>
        <w:t xml:space="preserve">department </w:t>
      </w:r>
      <w:r w:rsidRPr="5F5FF755">
        <w:rPr>
          <w:rFonts w:eastAsia="Arial"/>
          <w:color w:val="000000" w:themeColor="text1"/>
        </w:rPr>
        <w:t xml:space="preserve">staff when evaluating projects and enforcing the </w:t>
      </w:r>
      <w:r w:rsidRPr="5F5FF755">
        <w:rPr>
          <w:rFonts w:eastAsia="Arial"/>
          <w:color w:val="000000" w:themeColor="text1"/>
        </w:rPr>
        <w:lastRenderedPageBreak/>
        <w:t>applicability of EV provisions. Technical experts with TRC identified the $4,500 threshold by evaluating utility cost-estimates borne by the developer per EV space.</w:t>
      </w:r>
    </w:p>
    <w:p w14:paraId="35012E64" w14:textId="77777777" w:rsidR="00D5041A" w:rsidRDefault="00D5041A" w:rsidP="00D5041A">
      <w:pPr>
        <w:pStyle w:val="ListParagraph"/>
        <w:jc w:val="both"/>
        <w:rPr>
          <w:rFonts w:eastAsia="Arial"/>
          <w:b/>
          <w:bCs/>
          <w:i/>
          <w:iCs/>
          <w:color w:val="000000" w:themeColor="text1"/>
        </w:rPr>
      </w:pPr>
    </w:p>
    <w:p w14:paraId="5C6EA09B" w14:textId="386D0C98" w:rsidR="00455E86" w:rsidRPr="00455E86" w:rsidRDefault="00EF5702" w:rsidP="00453FD4">
      <w:pPr>
        <w:pStyle w:val="Heading1"/>
        <w:rPr>
          <w:rFonts w:eastAsia="Arial"/>
        </w:rPr>
      </w:pPr>
      <w:r w:rsidRPr="00EF5702">
        <w:rPr>
          <w:rFonts w:eastAsia="Arial"/>
        </w:rPr>
        <w:t>PUBLIC OUTREACH</w:t>
      </w:r>
    </w:p>
    <w:p w14:paraId="1FAF4402" w14:textId="56D0E899" w:rsidR="00BA55F4" w:rsidRDefault="001A7D2C" w:rsidP="00AD5ED2">
      <w:pPr>
        <w:shd w:val="clear" w:color="auto" w:fill="D9D9D9" w:themeFill="background1" w:themeFillShade="D9"/>
        <w:contextualSpacing/>
        <w:jc w:val="both"/>
      </w:pPr>
      <w:r>
        <w:t>[</w:t>
      </w:r>
      <w:r w:rsidR="005C45AD">
        <w:t>Add jurisdiction specific information s</w:t>
      </w:r>
      <w:r>
        <w:t>ummariz</w:t>
      </w:r>
      <w:r w:rsidR="005C45AD">
        <w:t>ing</w:t>
      </w:r>
      <w:r>
        <w:t xml:space="preserve"> public meetings held</w:t>
      </w:r>
      <w:r w:rsidR="005C45AD">
        <w:t>. Include information like event dates,</w:t>
      </w:r>
      <w:r>
        <w:t xml:space="preserve"> how </w:t>
      </w:r>
      <w:r w:rsidR="005C45AD">
        <w:t>events</w:t>
      </w:r>
      <w:r>
        <w:t xml:space="preserve"> w</w:t>
      </w:r>
      <w:r w:rsidR="005C45AD">
        <w:t>ere</w:t>
      </w:r>
      <w:r>
        <w:t xml:space="preserve"> promoted, </w:t>
      </w:r>
      <w:r w:rsidR="002F21C3">
        <w:t>how many and what kind of participates attended, and the resulting feedback</w:t>
      </w:r>
      <w:r w:rsidR="005C45AD">
        <w:t xml:space="preserve"> and impact to the ordinance</w:t>
      </w:r>
      <w:r w:rsidR="002F21C3">
        <w:t>]</w:t>
      </w:r>
    </w:p>
    <w:p w14:paraId="69A4C799" w14:textId="77777777" w:rsidR="00AD5ED2" w:rsidRDefault="00AD5ED2" w:rsidP="006556F7">
      <w:pPr>
        <w:jc w:val="both"/>
        <w:rPr>
          <w:b/>
        </w:rPr>
      </w:pPr>
    </w:p>
    <w:p w14:paraId="73FE667F" w14:textId="19B9C73F" w:rsidR="00455E86" w:rsidRPr="00455E86" w:rsidRDefault="006556F7" w:rsidP="00453FD4">
      <w:pPr>
        <w:pStyle w:val="Heading1"/>
      </w:pPr>
      <w:r w:rsidRPr="64F23A01">
        <w:t>FISCAL IMPACTS</w:t>
      </w:r>
    </w:p>
    <w:p w14:paraId="5DE30C3E" w14:textId="5EDA22B8" w:rsidR="00DD22C2" w:rsidRDefault="1378C389" w:rsidP="64F23A01">
      <w:pPr>
        <w:jc w:val="both"/>
        <w:rPr>
          <w:rFonts w:eastAsia="Arial"/>
        </w:rPr>
      </w:pPr>
      <w:r w:rsidRPr="64F23A01">
        <w:rPr>
          <w:rFonts w:eastAsia="Arial"/>
        </w:rPr>
        <w:t>There are no fiscal impacts related to this item.</w:t>
      </w:r>
    </w:p>
    <w:p w14:paraId="7FC5A597" w14:textId="77777777" w:rsidR="00DD22C2" w:rsidRDefault="00DD22C2" w:rsidP="64F23A01">
      <w:pPr>
        <w:jc w:val="both"/>
        <w:rPr>
          <w:rFonts w:eastAsia="Arial"/>
        </w:rPr>
      </w:pPr>
    </w:p>
    <w:p w14:paraId="32A5D40D" w14:textId="3BDE9DC1" w:rsidR="00455E86" w:rsidRPr="00455E86" w:rsidRDefault="00DD22C2" w:rsidP="00453FD4">
      <w:pPr>
        <w:pStyle w:val="Heading1"/>
        <w:rPr>
          <w:rFonts w:eastAsia="Arial"/>
        </w:rPr>
      </w:pPr>
      <w:r w:rsidRPr="007B6D19">
        <w:rPr>
          <w:rFonts w:eastAsia="Arial"/>
        </w:rPr>
        <w:t>CALIFORNIA ENVIRONMENTAL QUALITY ACT</w:t>
      </w:r>
    </w:p>
    <w:p w14:paraId="1192D704" w14:textId="3CCBCF67" w:rsidR="005C2BD5" w:rsidRPr="00953B9E" w:rsidRDefault="00DD22C2" w:rsidP="00953B9E">
      <w:pPr>
        <w:spacing w:after="160" w:line="257" w:lineRule="auto"/>
        <w:jc w:val="both"/>
        <w:rPr>
          <w:rFonts w:eastAsia="Arial"/>
          <w:color w:val="000000" w:themeColor="text1"/>
        </w:rPr>
      </w:pPr>
      <w:r w:rsidRPr="007B6D19">
        <w:rPr>
          <w:rFonts w:eastAsia="Arial"/>
          <w:color w:val="000000" w:themeColor="text1"/>
        </w:rPr>
        <w:t xml:space="preserve">The City Council hereby finds and determines that this ordinance has been assessed in accordance with the California Environmental Quality Act (Cal. Pub. Res. Code, § 21000 et seq.) (“CEQA”) and the State CEQA Guidelines (14 Cal. Code Regs. § 15000 et seq.) and is categorically exempt from CEQA under CEQA Guidelines, § 15061(b)(3), which exempts from CEQA any project where it can be seen with certainty that there is no possibility that the activity in question may have a significant effect on the environment. Adoption of the proposed ordinance would not be an activity with potential to cause significant effect on the environment because the adoption and local amendments to the California Green Building Standards Code are enacted to provide more protection to the environment, and therefore is exempt from CEQA. Therefore, it can be seen with certainty that there is no possibility that the ordinance in question may have a significant effect on the environment; accordingly, the ordinance is categorically exempt from CEQA. </w:t>
      </w:r>
    </w:p>
    <w:p w14:paraId="489A6B02" w14:textId="77777777" w:rsidR="008B25C5" w:rsidRDefault="008B25C5" w:rsidP="00CE0A04">
      <w:pPr>
        <w:tabs>
          <w:tab w:val="left" w:pos="2160"/>
          <w:tab w:val="left" w:pos="7020"/>
        </w:tabs>
        <w:jc w:val="both"/>
        <w:rPr>
          <w:bCs/>
        </w:rPr>
      </w:pPr>
    </w:p>
    <w:p w14:paraId="4EB238A1" w14:textId="23EA572E" w:rsidR="00111E21" w:rsidRDefault="00111E21" w:rsidP="00953B9E">
      <w:pPr>
        <w:tabs>
          <w:tab w:val="left" w:pos="2160"/>
        </w:tabs>
        <w:jc w:val="both"/>
        <w:rPr>
          <w:bCs/>
        </w:rPr>
      </w:pPr>
      <w:r w:rsidRPr="00111E21">
        <w:rPr>
          <w:b/>
        </w:rPr>
        <w:t xml:space="preserve">LEGAL REVIEW BY: </w:t>
      </w:r>
      <w:r>
        <w:rPr>
          <w:b/>
        </w:rPr>
        <w:tab/>
      </w:r>
      <w:r w:rsidR="00DD22C2" w:rsidRPr="00DD22C2">
        <w:rPr>
          <w:bCs/>
          <w:shd w:val="clear" w:color="auto" w:fill="D9D9D9" w:themeFill="background1" w:themeFillShade="D9"/>
        </w:rPr>
        <w:t>[Name]</w:t>
      </w:r>
      <w:r w:rsidRPr="00111E21">
        <w:rPr>
          <w:bCs/>
        </w:rPr>
        <w:t>, City Attorney</w:t>
      </w:r>
    </w:p>
    <w:p w14:paraId="7C653748" w14:textId="77777777" w:rsidR="00953B9E" w:rsidRPr="00953B9E" w:rsidRDefault="00953B9E" w:rsidP="00953B9E">
      <w:pPr>
        <w:tabs>
          <w:tab w:val="left" w:pos="2160"/>
        </w:tabs>
        <w:jc w:val="both"/>
        <w:rPr>
          <w:bCs/>
        </w:rPr>
      </w:pPr>
    </w:p>
    <w:p w14:paraId="1AAAC986" w14:textId="5246E4E3" w:rsidR="00111E21" w:rsidRPr="00111E21" w:rsidRDefault="00111E21" w:rsidP="00111E21">
      <w:pPr>
        <w:tabs>
          <w:tab w:val="left" w:pos="2160"/>
        </w:tabs>
        <w:jc w:val="both"/>
        <w:rPr>
          <w:b/>
        </w:rPr>
      </w:pPr>
      <w:r w:rsidRPr="00111E21">
        <w:rPr>
          <w:b/>
        </w:rPr>
        <w:t xml:space="preserve">APPROVED BY: </w:t>
      </w:r>
      <w:r>
        <w:rPr>
          <w:b/>
        </w:rPr>
        <w:tab/>
      </w:r>
      <w:r>
        <w:rPr>
          <w:b/>
        </w:rPr>
        <w:tab/>
      </w:r>
      <w:r w:rsidR="00DD22C2" w:rsidRPr="00DD22C2">
        <w:rPr>
          <w:bCs/>
          <w:shd w:val="clear" w:color="auto" w:fill="D9D9D9" w:themeFill="background1" w:themeFillShade="D9"/>
        </w:rPr>
        <w:t>[Name]</w:t>
      </w:r>
      <w:r w:rsidRPr="00111E21">
        <w:rPr>
          <w:bCs/>
        </w:rPr>
        <w:t>, City Manager</w:t>
      </w:r>
    </w:p>
    <w:p w14:paraId="6FE2A959" w14:textId="24114498" w:rsidR="00111E21" w:rsidRDefault="00111E21" w:rsidP="00B71AF2"/>
    <w:p w14:paraId="7E9B4414" w14:textId="77777777" w:rsidR="00B71AF2" w:rsidRPr="00B71AF2" w:rsidRDefault="00B71AF2" w:rsidP="00B71AF2"/>
    <w:p w14:paraId="0423EBF5" w14:textId="49A3260E" w:rsidR="00EB1F85" w:rsidRDefault="00CE0A04" w:rsidP="00DD04E5">
      <w:pPr>
        <w:pStyle w:val="Heading1"/>
        <w:rPr>
          <w:bCs/>
        </w:rPr>
      </w:pPr>
      <w:r w:rsidRPr="23F2B8BB">
        <w:rPr>
          <w:bCs/>
        </w:rPr>
        <w:t>A</w:t>
      </w:r>
      <w:r w:rsidR="007D335A" w:rsidRPr="23F2B8BB">
        <w:rPr>
          <w:bCs/>
        </w:rPr>
        <w:t>TTACHMENTS</w:t>
      </w:r>
    </w:p>
    <w:p w14:paraId="7ABE6A6B" w14:textId="77777777" w:rsidR="00455E86" w:rsidRPr="00455E86" w:rsidRDefault="00455E86" w:rsidP="00455E86"/>
    <w:p w14:paraId="65B3D1E6" w14:textId="475BC0E8" w:rsidR="7382EB8F" w:rsidRDefault="00DD22C2" w:rsidP="00DD22C2">
      <w:pPr>
        <w:pStyle w:val="ListParagraph"/>
        <w:numPr>
          <w:ilvl w:val="0"/>
          <w:numId w:val="43"/>
        </w:numPr>
        <w:shd w:val="clear" w:color="auto" w:fill="D9D9D9" w:themeFill="background1" w:themeFillShade="D9"/>
        <w:jc w:val="both"/>
      </w:pPr>
      <w:r>
        <w:t>[Ordinance information]</w:t>
      </w:r>
    </w:p>
    <w:p w14:paraId="05B4BEF3" w14:textId="17043ADE" w:rsidR="0076592E" w:rsidRDefault="00DD22C2" w:rsidP="00DD22C2">
      <w:pPr>
        <w:pStyle w:val="ListParagraph"/>
        <w:numPr>
          <w:ilvl w:val="0"/>
          <w:numId w:val="43"/>
        </w:numPr>
        <w:shd w:val="clear" w:color="auto" w:fill="D9D9D9" w:themeFill="background1" w:themeFillShade="D9"/>
        <w:jc w:val="both"/>
      </w:pPr>
      <w:r>
        <w:t>[</w:t>
      </w:r>
      <w:r w:rsidR="0076592E">
        <w:t>PowerPoint Presentation</w:t>
      </w:r>
      <w:r>
        <w:t xml:space="preserve"> information]</w:t>
      </w:r>
    </w:p>
    <w:sectPr w:rsidR="0076592E">
      <w:headerReference w:type="default" r:id="rId13"/>
      <w:footerReference w:type="default" r:id="rId14"/>
      <w:headerReference w:type="first" r:id="rId15"/>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14A65" w14:textId="77777777" w:rsidR="003A42BE" w:rsidRDefault="003A42BE">
      <w:r>
        <w:separator/>
      </w:r>
    </w:p>
  </w:endnote>
  <w:endnote w:type="continuationSeparator" w:id="0">
    <w:p w14:paraId="19FA9F16" w14:textId="77777777" w:rsidR="003A42BE" w:rsidRDefault="003A42BE">
      <w:r>
        <w:continuationSeparator/>
      </w:r>
    </w:p>
  </w:endnote>
  <w:endnote w:type="continuationNotice" w:id="1">
    <w:p w14:paraId="6039CD03" w14:textId="77777777" w:rsidR="003A42BE" w:rsidRDefault="003A4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A146D" w14:textId="77777777" w:rsidR="006D2CF6" w:rsidRDefault="006D2CF6">
    <w:pPr>
      <w:pStyle w:val="Footer"/>
      <w:jc w:val="center"/>
      <w:rPr>
        <w:sz w:val="22"/>
      </w:rPr>
    </w:pPr>
    <w:r>
      <w:rPr>
        <w:rStyle w:val="PageNumber"/>
      </w:rPr>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3545B6">
      <w:rPr>
        <w:rStyle w:val="PageNumber"/>
        <w:noProof/>
        <w:sz w:val="22"/>
      </w:rPr>
      <w:t>2</w:t>
    </w:r>
    <w:r>
      <w:rPr>
        <w:rStyle w:val="PageNumber"/>
        <w:sz w:val="22"/>
      </w:rPr>
      <w:fldChar w:fldCharType="end"/>
    </w:r>
    <w:r>
      <w:rPr>
        <w:rStyle w:val="PageNumber"/>
        <w:sz w:val="22"/>
      </w:rPr>
      <w:t xml:space="preserve"> of </w:t>
    </w:r>
    <w:r>
      <w:rPr>
        <w:rStyle w:val="PageNumber"/>
      </w:rPr>
      <w:fldChar w:fldCharType="begin"/>
    </w:r>
    <w:r>
      <w:rPr>
        <w:rStyle w:val="PageNumber"/>
      </w:rPr>
      <w:instrText xml:space="preserve"> NUMPAGES </w:instrText>
    </w:r>
    <w:r>
      <w:rPr>
        <w:rStyle w:val="PageNumber"/>
      </w:rPr>
      <w:fldChar w:fldCharType="separate"/>
    </w:r>
    <w:r w:rsidR="003545B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CA8C" w14:textId="77777777" w:rsidR="003A42BE" w:rsidRDefault="003A42BE">
      <w:r>
        <w:separator/>
      </w:r>
    </w:p>
  </w:footnote>
  <w:footnote w:type="continuationSeparator" w:id="0">
    <w:p w14:paraId="52F8FF48" w14:textId="77777777" w:rsidR="003A42BE" w:rsidRDefault="003A42BE">
      <w:r>
        <w:continuationSeparator/>
      </w:r>
    </w:p>
  </w:footnote>
  <w:footnote w:type="continuationNotice" w:id="1">
    <w:p w14:paraId="2E2EE849" w14:textId="77777777" w:rsidR="003A42BE" w:rsidRDefault="003A4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90CC4" w14:textId="5D55A749" w:rsidR="006D2CF6" w:rsidRDefault="00000000" w:rsidP="0003261B">
    <w:pPr>
      <w:pStyle w:val="Header"/>
      <w:tabs>
        <w:tab w:val="clear" w:pos="4320"/>
        <w:tab w:val="left" w:pos="5400"/>
        <w:tab w:val="left" w:pos="7380"/>
      </w:tabs>
      <w:rPr>
        <w:b/>
        <w:sz w:val="20"/>
      </w:rPr>
    </w:pPr>
    <w:sdt>
      <w:sdtPr>
        <w:rPr>
          <w:b/>
          <w:color w:val="000000" w:themeColor="text1"/>
          <w:shd w:val="clear" w:color="auto" w:fill="E6E6E6"/>
        </w:rPr>
        <w:alias w:val="Publish Date"/>
        <w:tag w:val=""/>
        <w:id w:val="-1335295987"/>
        <w:placeholder>
          <w:docPart w:val="E76065490AEA466CB6B7C072C2465254"/>
        </w:placeholde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rsidR="002D12C2" w:rsidRPr="00267558">
          <w:rPr>
            <w:b/>
            <w:color w:val="000000" w:themeColor="text1"/>
            <w:shd w:val="clear" w:color="auto" w:fill="E6E6E6"/>
          </w:rPr>
          <w:t>[Date]</w:t>
        </w:r>
      </w:sdtContent>
    </w:sdt>
  </w:p>
  <w:p w14:paraId="555B91AB" w14:textId="77777777" w:rsidR="006D2CF6" w:rsidRDefault="006D2CF6">
    <w:pPr>
      <w:pStyle w:val="Header"/>
      <w:tabs>
        <w:tab w:val="clear" w:pos="4320"/>
        <w:tab w:val="left" w:pos="6120"/>
        <w:tab w:val="left" w:pos="73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BAB5" w14:textId="77777777" w:rsidR="000368CB" w:rsidRPr="00AB012C" w:rsidRDefault="000368CB" w:rsidP="000368CB">
    <w:pPr>
      <w:pStyle w:val="Header"/>
      <w:tabs>
        <w:tab w:val="clear" w:pos="4320"/>
      </w:tabs>
      <w:jc w:val="center"/>
      <w:rPr>
        <w:b/>
        <w:bCs/>
        <w:sz w:val="22"/>
        <w:szCs w:val="28"/>
      </w:rPr>
    </w:pPr>
    <w:r w:rsidRPr="00AB012C">
      <w:rPr>
        <w:b/>
        <w:bCs/>
        <w:noProof/>
        <w:sz w:val="22"/>
        <w:szCs w:val="28"/>
      </w:rPr>
      <mc:AlternateContent>
        <mc:Choice Requires="wps">
          <w:drawing>
            <wp:anchor distT="0" distB="0" distL="114300" distR="114300" simplePos="0" relativeHeight="251658240" behindDoc="1" locked="0" layoutInCell="1" allowOverlap="1" wp14:anchorId="739B296E" wp14:editId="468BEC0E">
              <wp:simplePos x="0" y="0"/>
              <wp:positionH relativeFrom="column">
                <wp:posOffset>-127136</wp:posOffset>
              </wp:positionH>
              <wp:positionV relativeFrom="paragraph">
                <wp:posOffset>95352</wp:posOffset>
              </wp:positionV>
              <wp:extent cx="1227350" cy="73836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350" cy="738366"/>
                      </a:xfrm>
                      <a:prstGeom prst="rect">
                        <a:avLst/>
                      </a:prstGeom>
                      <a:solidFill>
                        <a:schemeClr val="bg1">
                          <a:lumMod val="85000"/>
                        </a:schemeClr>
                      </a:solidFill>
                      <a:ln w="9525">
                        <a:solidFill>
                          <a:srgbClr val="000000"/>
                        </a:solidFill>
                        <a:miter lim="800000"/>
                        <a:headEnd/>
                        <a:tailEnd/>
                      </a:ln>
                    </wps:spPr>
                    <wps:txbx>
                      <w:txbxContent>
                        <w:p w14:paraId="23962BF0" w14:textId="77777777" w:rsidR="000368CB" w:rsidRDefault="000368CB" w:rsidP="000368CB">
                          <w:r>
                            <w:t>Jurisdiction logo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39B296E" id="_x0000_t202" coordsize="21600,21600" o:spt="202" path="m,l,21600r21600,l21600,xe">
              <v:stroke joinstyle="miter"/>
              <v:path gradientshapeok="t" o:connecttype="rect"/>
            </v:shapetype>
            <v:shape id="Text Box 2" o:spid="_x0000_s1026" type="#_x0000_t202" style="position:absolute;left:0;text-align:left;margin-left:-10pt;margin-top:7.5pt;width:96.6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" fillcolor="#d8d8d8 [2732]">
              <v:textbox>
                <w:txbxContent>
                  <w:p w14:paraId="23962BF0" w14:textId="77777777" w:rsidR="000368CB" w:rsidRDefault="000368CB" w:rsidP="000368CB">
                    <w:r>
                      <w:t>Jurisdiction logo</w:t>
                    </w:r>
                  </w:p>
                </w:txbxContent>
              </v:textbox>
            </v:shape>
          </w:pict>
        </mc:Fallback>
      </mc:AlternateContent>
    </w:r>
  </w:p>
  <w:p w14:paraId="169C62FC" w14:textId="77777777" w:rsidR="000368CB" w:rsidRPr="00AB012C" w:rsidRDefault="000368CB" w:rsidP="000368CB">
    <w:pPr>
      <w:pStyle w:val="Header"/>
      <w:tabs>
        <w:tab w:val="clear" w:pos="4320"/>
      </w:tabs>
      <w:jc w:val="center"/>
      <w:rPr>
        <w:b/>
        <w:bCs/>
        <w:sz w:val="28"/>
        <w:szCs w:val="28"/>
      </w:rPr>
    </w:pPr>
    <w:r w:rsidRPr="00AB012C">
      <w:rPr>
        <w:b/>
        <w:bCs/>
        <w:sz w:val="28"/>
        <w:szCs w:val="28"/>
      </w:rPr>
      <w:t>City Council Agenda Item</w:t>
    </w:r>
  </w:p>
  <w:p w14:paraId="088E1DFD" w14:textId="77777777" w:rsidR="000368CB" w:rsidRPr="00AB012C" w:rsidRDefault="000368CB" w:rsidP="000368CB">
    <w:pPr>
      <w:pStyle w:val="Header"/>
      <w:tabs>
        <w:tab w:val="clear" w:pos="4320"/>
      </w:tabs>
      <w:jc w:val="center"/>
      <w:rPr>
        <w:b/>
        <w:bCs/>
        <w:sz w:val="28"/>
        <w:szCs w:val="28"/>
      </w:rPr>
    </w:pPr>
    <w:r w:rsidRPr="00AB012C">
      <w:rPr>
        <w:b/>
        <w:bCs/>
        <w:sz w:val="28"/>
        <w:szCs w:val="28"/>
      </w:rPr>
      <w:t>Staff Report</w:t>
    </w:r>
  </w:p>
  <w:p w14:paraId="4F212E7A" w14:textId="77777777" w:rsidR="000368CB" w:rsidRDefault="000368CB" w:rsidP="000368CB">
    <w:pPr>
      <w:pStyle w:val="Header"/>
      <w:tabs>
        <w:tab w:val="clear" w:pos="4320"/>
      </w:tabs>
      <w:jc w:val="center"/>
      <w:rPr>
        <w:b/>
        <w:bCs/>
        <w:sz w:val="22"/>
      </w:rPr>
    </w:pPr>
  </w:p>
  <w:p w14:paraId="4700E7AB" w14:textId="77777777" w:rsidR="000368CB" w:rsidRDefault="000368CB" w:rsidP="000368CB">
    <w:pPr>
      <w:pStyle w:val="Header"/>
      <w:tabs>
        <w:tab w:val="clear" w:pos="4320"/>
      </w:tabs>
      <w:jc w:val="center"/>
      <w:rPr>
        <w:b/>
        <w:bCs/>
        <w:sz w:val="22"/>
      </w:rPr>
    </w:pPr>
  </w:p>
  <w:p w14:paraId="08C473CD" w14:textId="125BF11C" w:rsidR="000368CB" w:rsidRPr="00AB012C" w:rsidRDefault="000368CB" w:rsidP="000368CB">
    <w:pPr>
      <w:pStyle w:val="Header"/>
      <w:pBdr>
        <w:bottom w:val="single" w:sz="4" w:space="1" w:color="auto"/>
      </w:pBdr>
      <w:tabs>
        <w:tab w:val="clear" w:pos="4320"/>
        <w:tab w:val="clear" w:pos="8640"/>
        <w:tab w:val="right" w:pos="10080"/>
      </w:tabs>
      <w:ind w:left="-720" w:right="-720"/>
      <w:rPr>
        <w:szCs w:val="28"/>
      </w:rPr>
    </w:pPr>
    <w:r>
      <w:rPr>
        <w:sz w:val="16"/>
      </w:rPr>
      <w:tab/>
    </w:r>
    <w:r w:rsidR="00E4623F">
      <w:rPr>
        <w:szCs w:val="28"/>
        <w:shd w:val="clear" w:color="auto" w:fill="D9D9D9" w:themeFill="background1" w:themeFillShade="D9"/>
      </w:rPr>
      <w:t>[</w:t>
    </w:r>
    <w:r>
      <w:rPr>
        <w:szCs w:val="28"/>
        <w:shd w:val="clear" w:color="auto" w:fill="D9D9D9" w:themeFill="background1" w:themeFillShade="D9"/>
      </w:rPr>
      <w:t>J</w:t>
    </w:r>
    <w:r w:rsidRPr="001A4751">
      <w:rPr>
        <w:szCs w:val="28"/>
        <w:shd w:val="clear" w:color="auto" w:fill="D9D9D9" w:themeFill="background1" w:themeFillShade="D9"/>
      </w:rPr>
      <w:t>urisdictio</w:t>
    </w:r>
    <w:r>
      <w:rPr>
        <w:szCs w:val="28"/>
        <w:shd w:val="clear" w:color="auto" w:fill="D9D9D9" w:themeFill="background1" w:themeFillShade="D9"/>
      </w:rPr>
      <w:t>n</w:t>
    </w:r>
    <w:r w:rsidR="00E4623F">
      <w:rPr>
        <w:szCs w:val="28"/>
        <w:shd w:val="clear" w:color="auto" w:fill="D9D9D9" w:themeFill="background1" w:themeFillShade="D9"/>
      </w:rPr>
      <w:t>]</w:t>
    </w:r>
  </w:p>
  <w:p w14:paraId="67821DF6" w14:textId="77777777" w:rsidR="000368CB" w:rsidRDefault="00036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1F4"/>
    <w:multiLevelType w:val="hybridMultilevel"/>
    <w:tmpl w:val="1CE01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A5E79"/>
    <w:multiLevelType w:val="hybridMultilevel"/>
    <w:tmpl w:val="39168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B5CCD"/>
    <w:multiLevelType w:val="hybridMultilevel"/>
    <w:tmpl w:val="C31C8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286A63"/>
    <w:multiLevelType w:val="multilevel"/>
    <w:tmpl w:val="1CE019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6A5E9D"/>
    <w:multiLevelType w:val="hybridMultilevel"/>
    <w:tmpl w:val="FC0E3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234FC"/>
    <w:multiLevelType w:val="hybridMultilevel"/>
    <w:tmpl w:val="860AB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5383C"/>
    <w:multiLevelType w:val="hybridMultilevel"/>
    <w:tmpl w:val="2EB65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800C49"/>
    <w:multiLevelType w:val="hybridMultilevel"/>
    <w:tmpl w:val="E728A5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F86A06"/>
    <w:multiLevelType w:val="hybridMultilevel"/>
    <w:tmpl w:val="4D448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80C27"/>
    <w:multiLevelType w:val="hybridMultilevel"/>
    <w:tmpl w:val="8CA2B9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E842CA"/>
    <w:multiLevelType w:val="hybridMultilevel"/>
    <w:tmpl w:val="1ECA9A1C"/>
    <w:lvl w:ilvl="0" w:tplc="B4361768">
      <w:start w:val="1"/>
      <w:numFmt w:val="bullet"/>
      <w:lvlText w:val=""/>
      <w:lvlJc w:val="left"/>
      <w:pPr>
        <w:ind w:left="720" w:hanging="360"/>
      </w:pPr>
      <w:rPr>
        <w:rFonts w:ascii="Symbol" w:hAnsi="Symbol" w:hint="default"/>
      </w:rPr>
    </w:lvl>
    <w:lvl w:ilvl="1" w:tplc="76D66016">
      <w:start w:val="1"/>
      <w:numFmt w:val="bullet"/>
      <w:lvlText w:val="o"/>
      <w:lvlJc w:val="left"/>
      <w:pPr>
        <w:ind w:left="1440" w:hanging="360"/>
      </w:pPr>
      <w:rPr>
        <w:rFonts w:ascii="Courier New" w:hAnsi="Courier New" w:hint="default"/>
      </w:rPr>
    </w:lvl>
    <w:lvl w:ilvl="2" w:tplc="8F789B5E">
      <w:start w:val="1"/>
      <w:numFmt w:val="bullet"/>
      <w:lvlText w:val=""/>
      <w:lvlJc w:val="left"/>
      <w:pPr>
        <w:ind w:left="2160" w:hanging="360"/>
      </w:pPr>
      <w:rPr>
        <w:rFonts w:ascii="Wingdings" w:hAnsi="Wingdings" w:hint="default"/>
      </w:rPr>
    </w:lvl>
    <w:lvl w:ilvl="3" w:tplc="FA2C1B7E">
      <w:start w:val="1"/>
      <w:numFmt w:val="bullet"/>
      <w:lvlText w:val=""/>
      <w:lvlJc w:val="left"/>
      <w:pPr>
        <w:ind w:left="2880" w:hanging="360"/>
      </w:pPr>
      <w:rPr>
        <w:rFonts w:ascii="Symbol" w:hAnsi="Symbol" w:hint="default"/>
      </w:rPr>
    </w:lvl>
    <w:lvl w:ilvl="4" w:tplc="16563BAA">
      <w:start w:val="1"/>
      <w:numFmt w:val="bullet"/>
      <w:lvlText w:val="o"/>
      <w:lvlJc w:val="left"/>
      <w:pPr>
        <w:ind w:left="3600" w:hanging="360"/>
      </w:pPr>
      <w:rPr>
        <w:rFonts w:ascii="Courier New" w:hAnsi="Courier New" w:hint="default"/>
      </w:rPr>
    </w:lvl>
    <w:lvl w:ilvl="5" w:tplc="4EBE65AA">
      <w:start w:val="1"/>
      <w:numFmt w:val="bullet"/>
      <w:lvlText w:val=""/>
      <w:lvlJc w:val="left"/>
      <w:pPr>
        <w:ind w:left="4320" w:hanging="360"/>
      </w:pPr>
      <w:rPr>
        <w:rFonts w:ascii="Wingdings" w:hAnsi="Wingdings" w:hint="default"/>
      </w:rPr>
    </w:lvl>
    <w:lvl w:ilvl="6" w:tplc="9F7244A8">
      <w:start w:val="1"/>
      <w:numFmt w:val="bullet"/>
      <w:lvlText w:val=""/>
      <w:lvlJc w:val="left"/>
      <w:pPr>
        <w:ind w:left="5040" w:hanging="360"/>
      </w:pPr>
      <w:rPr>
        <w:rFonts w:ascii="Symbol" w:hAnsi="Symbol" w:hint="default"/>
      </w:rPr>
    </w:lvl>
    <w:lvl w:ilvl="7" w:tplc="72EAEC9A">
      <w:start w:val="1"/>
      <w:numFmt w:val="bullet"/>
      <w:lvlText w:val="o"/>
      <w:lvlJc w:val="left"/>
      <w:pPr>
        <w:ind w:left="5760" w:hanging="360"/>
      </w:pPr>
      <w:rPr>
        <w:rFonts w:ascii="Courier New" w:hAnsi="Courier New" w:hint="default"/>
      </w:rPr>
    </w:lvl>
    <w:lvl w:ilvl="8" w:tplc="8EB66EFA">
      <w:start w:val="1"/>
      <w:numFmt w:val="bullet"/>
      <w:lvlText w:val=""/>
      <w:lvlJc w:val="left"/>
      <w:pPr>
        <w:ind w:left="6480" w:hanging="360"/>
      </w:pPr>
      <w:rPr>
        <w:rFonts w:ascii="Wingdings" w:hAnsi="Wingdings" w:hint="default"/>
      </w:rPr>
    </w:lvl>
  </w:abstractNum>
  <w:abstractNum w:abstractNumId="11" w15:restartNumberingAfterBreak="0">
    <w:nsid w:val="13BF4C95"/>
    <w:multiLevelType w:val="hybridMultilevel"/>
    <w:tmpl w:val="3CCCD0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8B3524"/>
    <w:multiLevelType w:val="hybridMultilevel"/>
    <w:tmpl w:val="D3A4D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6082B"/>
    <w:multiLevelType w:val="hybridMultilevel"/>
    <w:tmpl w:val="14AE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F343411"/>
    <w:multiLevelType w:val="hybridMultilevel"/>
    <w:tmpl w:val="3C108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37460"/>
    <w:multiLevelType w:val="hybridMultilevel"/>
    <w:tmpl w:val="93A007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541439"/>
    <w:multiLevelType w:val="hybridMultilevel"/>
    <w:tmpl w:val="FF2CD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11F603E"/>
    <w:multiLevelType w:val="hybridMultilevel"/>
    <w:tmpl w:val="D93A3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DC3637"/>
    <w:multiLevelType w:val="hybridMultilevel"/>
    <w:tmpl w:val="6D281B96"/>
    <w:lvl w:ilvl="0" w:tplc="B290E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4E7A3A"/>
    <w:multiLevelType w:val="hybridMultilevel"/>
    <w:tmpl w:val="FF14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28546D"/>
    <w:multiLevelType w:val="hybridMultilevel"/>
    <w:tmpl w:val="5C44F0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A507156"/>
    <w:multiLevelType w:val="hybridMultilevel"/>
    <w:tmpl w:val="C8FE75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5737C8"/>
    <w:multiLevelType w:val="multilevel"/>
    <w:tmpl w:val="B73030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0C11040"/>
    <w:multiLevelType w:val="hybridMultilevel"/>
    <w:tmpl w:val="D6785EA4"/>
    <w:lvl w:ilvl="0" w:tplc="04090019">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1F9685E"/>
    <w:multiLevelType w:val="hybridMultilevel"/>
    <w:tmpl w:val="69D0DE04"/>
    <w:lvl w:ilvl="0" w:tplc="C83C21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2C654C"/>
    <w:multiLevelType w:val="hybridMultilevel"/>
    <w:tmpl w:val="A1361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1B58E2"/>
    <w:multiLevelType w:val="hybridMultilevel"/>
    <w:tmpl w:val="5A48E7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1807DBD"/>
    <w:multiLevelType w:val="hybridMultilevel"/>
    <w:tmpl w:val="6B9EE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332D8D"/>
    <w:multiLevelType w:val="hybridMultilevel"/>
    <w:tmpl w:val="41D4BA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B275D3"/>
    <w:multiLevelType w:val="hybridMultilevel"/>
    <w:tmpl w:val="D8E45F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D6D153D"/>
    <w:multiLevelType w:val="hybridMultilevel"/>
    <w:tmpl w:val="C1661EBC"/>
    <w:lvl w:ilvl="0" w:tplc="EC68EDD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0CA0D83"/>
    <w:multiLevelType w:val="hybridMultilevel"/>
    <w:tmpl w:val="F4F85BB8"/>
    <w:lvl w:ilvl="0" w:tplc="F07ED38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5A03121"/>
    <w:multiLevelType w:val="hybridMultilevel"/>
    <w:tmpl w:val="ED3A5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A36686"/>
    <w:multiLevelType w:val="hybridMultilevel"/>
    <w:tmpl w:val="B71E6DF8"/>
    <w:lvl w:ilvl="0" w:tplc="AB58E0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2268D2"/>
    <w:multiLevelType w:val="hybridMultilevel"/>
    <w:tmpl w:val="2208E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6564C4"/>
    <w:multiLevelType w:val="hybridMultilevel"/>
    <w:tmpl w:val="FC98E5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8C4257"/>
    <w:multiLevelType w:val="hybridMultilevel"/>
    <w:tmpl w:val="00889968"/>
    <w:lvl w:ilvl="0" w:tplc="4ADC6BFC">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556E9E"/>
    <w:multiLevelType w:val="hybridMultilevel"/>
    <w:tmpl w:val="DBC21E84"/>
    <w:lvl w:ilvl="0" w:tplc="7FFEB6D2">
      <w:start w:val="1"/>
      <w:numFmt w:val="bullet"/>
      <w:lvlText w:val=""/>
      <w:lvlJc w:val="left"/>
      <w:pPr>
        <w:ind w:left="720" w:hanging="360"/>
      </w:pPr>
      <w:rPr>
        <w:rFonts w:ascii="Symbol" w:hAnsi="Symbol" w:hint="default"/>
      </w:rPr>
    </w:lvl>
    <w:lvl w:ilvl="1" w:tplc="11E014AA">
      <w:start w:val="1"/>
      <w:numFmt w:val="lowerLetter"/>
      <w:lvlText w:val="%2)"/>
      <w:lvlJc w:val="left"/>
      <w:pPr>
        <w:ind w:left="1440" w:hanging="360"/>
      </w:pPr>
      <w:rPr>
        <w:rFonts w:ascii="Arial" w:eastAsia="Times New Roman" w:hAnsi="Arial" w:cs="Arial"/>
      </w:rPr>
    </w:lvl>
    <w:lvl w:ilvl="2" w:tplc="F84407FE">
      <w:start w:val="1"/>
      <w:numFmt w:val="bullet"/>
      <w:lvlText w:val=""/>
      <w:lvlJc w:val="left"/>
      <w:pPr>
        <w:ind w:left="2160" w:hanging="360"/>
      </w:pPr>
      <w:rPr>
        <w:rFonts w:ascii="Wingdings" w:hAnsi="Wingdings" w:hint="default"/>
      </w:rPr>
    </w:lvl>
    <w:lvl w:ilvl="3" w:tplc="1D328496">
      <w:start w:val="1"/>
      <w:numFmt w:val="bullet"/>
      <w:lvlText w:val=""/>
      <w:lvlJc w:val="left"/>
      <w:pPr>
        <w:ind w:left="2880" w:hanging="360"/>
      </w:pPr>
      <w:rPr>
        <w:rFonts w:ascii="Symbol" w:hAnsi="Symbol" w:hint="default"/>
      </w:rPr>
    </w:lvl>
    <w:lvl w:ilvl="4" w:tplc="027CAC9C">
      <w:start w:val="1"/>
      <w:numFmt w:val="bullet"/>
      <w:lvlText w:val="o"/>
      <w:lvlJc w:val="left"/>
      <w:pPr>
        <w:ind w:left="3600" w:hanging="360"/>
      </w:pPr>
      <w:rPr>
        <w:rFonts w:ascii="Courier New" w:hAnsi="Courier New" w:hint="default"/>
      </w:rPr>
    </w:lvl>
    <w:lvl w:ilvl="5" w:tplc="83087006">
      <w:start w:val="1"/>
      <w:numFmt w:val="bullet"/>
      <w:lvlText w:val=""/>
      <w:lvlJc w:val="left"/>
      <w:pPr>
        <w:ind w:left="4320" w:hanging="360"/>
      </w:pPr>
      <w:rPr>
        <w:rFonts w:ascii="Wingdings" w:hAnsi="Wingdings" w:hint="default"/>
      </w:rPr>
    </w:lvl>
    <w:lvl w:ilvl="6" w:tplc="0A804B0E">
      <w:start w:val="1"/>
      <w:numFmt w:val="bullet"/>
      <w:lvlText w:val=""/>
      <w:lvlJc w:val="left"/>
      <w:pPr>
        <w:ind w:left="5040" w:hanging="360"/>
      </w:pPr>
      <w:rPr>
        <w:rFonts w:ascii="Symbol" w:hAnsi="Symbol" w:hint="default"/>
      </w:rPr>
    </w:lvl>
    <w:lvl w:ilvl="7" w:tplc="D1043E16">
      <w:start w:val="1"/>
      <w:numFmt w:val="bullet"/>
      <w:lvlText w:val="o"/>
      <w:lvlJc w:val="left"/>
      <w:pPr>
        <w:ind w:left="5760" w:hanging="360"/>
      </w:pPr>
      <w:rPr>
        <w:rFonts w:ascii="Courier New" w:hAnsi="Courier New" w:hint="default"/>
      </w:rPr>
    </w:lvl>
    <w:lvl w:ilvl="8" w:tplc="4DE81CD0">
      <w:start w:val="1"/>
      <w:numFmt w:val="bullet"/>
      <w:lvlText w:val=""/>
      <w:lvlJc w:val="left"/>
      <w:pPr>
        <w:ind w:left="6480" w:hanging="360"/>
      </w:pPr>
      <w:rPr>
        <w:rFonts w:ascii="Wingdings" w:hAnsi="Wingdings" w:hint="default"/>
      </w:rPr>
    </w:lvl>
  </w:abstractNum>
  <w:abstractNum w:abstractNumId="38" w15:restartNumberingAfterBreak="0">
    <w:nsid w:val="63CC4BF6"/>
    <w:multiLevelType w:val="hybridMultilevel"/>
    <w:tmpl w:val="C720AC26"/>
    <w:lvl w:ilvl="0" w:tplc="57E0A73C">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89119D8"/>
    <w:multiLevelType w:val="hybridMultilevel"/>
    <w:tmpl w:val="73EC7F26"/>
    <w:lvl w:ilvl="0" w:tplc="5C00C77C">
      <w:start w:val="1"/>
      <w:numFmt w:val="bullet"/>
      <w:lvlText w:val=""/>
      <w:lvlJc w:val="left"/>
      <w:pPr>
        <w:ind w:left="720" w:hanging="360"/>
      </w:pPr>
      <w:rPr>
        <w:rFonts w:ascii="Symbol" w:hAnsi="Symbol" w:hint="default"/>
      </w:rPr>
    </w:lvl>
    <w:lvl w:ilvl="1" w:tplc="717AB54A">
      <w:start w:val="1"/>
      <w:numFmt w:val="bullet"/>
      <w:lvlText w:val="o"/>
      <w:lvlJc w:val="left"/>
      <w:pPr>
        <w:ind w:left="1440" w:hanging="360"/>
      </w:pPr>
      <w:rPr>
        <w:rFonts w:ascii="Courier New" w:hAnsi="Courier New" w:hint="default"/>
      </w:rPr>
    </w:lvl>
    <w:lvl w:ilvl="2" w:tplc="4A425DBC">
      <w:start w:val="1"/>
      <w:numFmt w:val="bullet"/>
      <w:lvlText w:val=""/>
      <w:lvlJc w:val="left"/>
      <w:pPr>
        <w:ind w:left="2160" w:hanging="360"/>
      </w:pPr>
      <w:rPr>
        <w:rFonts w:ascii="Wingdings" w:hAnsi="Wingdings" w:hint="default"/>
      </w:rPr>
    </w:lvl>
    <w:lvl w:ilvl="3" w:tplc="80B652B0">
      <w:start w:val="1"/>
      <w:numFmt w:val="bullet"/>
      <w:lvlText w:val=""/>
      <w:lvlJc w:val="left"/>
      <w:pPr>
        <w:ind w:left="2880" w:hanging="360"/>
      </w:pPr>
      <w:rPr>
        <w:rFonts w:ascii="Symbol" w:hAnsi="Symbol" w:hint="default"/>
      </w:rPr>
    </w:lvl>
    <w:lvl w:ilvl="4" w:tplc="C3AC2E24">
      <w:start w:val="1"/>
      <w:numFmt w:val="bullet"/>
      <w:lvlText w:val="o"/>
      <w:lvlJc w:val="left"/>
      <w:pPr>
        <w:ind w:left="3600" w:hanging="360"/>
      </w:pPr>
      <w:rPr>
        <w:rFonts w:ascii="Courier New" w:hAnsi="Courier New" w:hint="default"/>
      </w:rPr>
    </w:lvl>
    <w:lvl w:ilvl="5" w:tplc="61186198">
      <w:start w:val="1"/>
      <w:numFmt w:val="bullet"/>
      <w:lvlText w:val=""/>
      <w:lvlJc w:val="left"/>
      <w:pPr>
        <w:ind w:left="4320" w:hanging="360"/>
      </w:pPr>
      <w:rPr>
        <w:rFonts w:ascii="Wingdings" w:hAnsi="Wingdings" w:hint="default"/>
      </w:rPr>
    </w:lvl>
    <w:lvl w:ilvl="6" w:tplc="7A0EF5AE">
      <w:start w:val="1"/>
      <w:numFmt w:val="bullet"/>
      <w:lvlText w:val=""/>
      <w:lvlJc w:val="left"/>
      <w:pPr>
        <w:ind w:left="5040" w:hanging="360"/>
      </w:pPr>
      <w:rPr>
        <w:rFonts w:ascii="Symbol" w:hAnsi="Symbol" w:hint="default"/>
      </w:rPr>
    </w:lvl>
    <w:lvl w:ilvl="7" w:tplc="D3CE1C42">
      <w:start w:val="1"/>
      <w:numFmt w:val="bullet"/>
      <w:lvlText w:val="o"/>
      <w:lvlJc w:val="left"/>
      <w:pPr>
        <w:ind w:left="5760" w:hanging="360"/>
      </w:pPr>
      <w:rPr>
        <w:rFonts w:ascii="Courier New" w:hAnsi="Courier New" w:hint="default"/>
      </w:rPr>
    </w:lvl>
    <w:lvl w:ilvl="8" w:tplc="51F45DE4">
      <w:start w:val="1"/>
      <w:numFmt w:val="bullet"/>
      <w:lvlText w:val=""/>
      <w:lvlJc w:val="left"/>
      <w:pPr>
        <w:ind w:left="6480" w:hanging="360"/>
      </w:pPr>
      <w:rPr>
        <w:rFonts w:ascii="Wingdings" w:hAnsi="Wingdings" w:hint="default"/>
      </w:rPr>
    </w:lvl>
  </w:abstractNum>
  <w:abstractNum w:abstractNumId="40" w15:restartNumberingAfterBreak="0">
    <w:nsid w:val="6A8302E6"/>
    <w:multiLevelType w:val="hybridMultilevel"/>
    <w:tmpl w:val="4F22556A"/>
    <w:lvl w:ilvl="0" w:tplc="16DC382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180480"/>
    <w:multiLevelType w:val="hybridMultilevel"/>
    <w:tmpl w:val="37285832"/>
    <w:lvl w:ilvl="0" w:tplc="D200CE72">
      <w:start w:val="1"/>
      <w:numFmt w:val="bullet"/>
      <w:lvlText w:val=""/>
      <w:lvlJc w:val="left"/>
      <w:pPr>
        <w:ind w:left="720" w:hanging="360"/>
      </w:pPr>
      <w:rPr>
        <w:rFonts w:ascii="Symbol" w:hAnsi="Symbol" w:hint="default"/>
      </w:rPr>
    </w:lvl>
    <w:lvl w:ilvl="1" w:tplc="7188EA10">
      <w:start w:val="1"/>
      <w:numFmt w:val="bullet"/>
      <w:lvlText w:val="o"/>
      <w:lvlJc w:val="left"/>
      <w:pPr>
        <w:ind w:left="1440" w:hanging="360"/>
      </w:pPr>
      <w:rPr>
        <w:rFonts w:ascii="Courier New" w:hAnsi="Courier New" w:hint="default"/>
      </w:rPr>
    </w:lvl>
    <w:lvl w:ilvl="2" w:tplc="2FFC52E4">
      <w:start w:val="1"/>
      <w:numFmt w:val="bullet"/>
      <w:lvlText w:val=""/>
      <w:lvlJc w:val="left"/>
      <w:pPr>
        <w:ind w:left="2160" w:hanging="360"/>
      </w:pPr>
      <w:rPr>
        <w:rFonts w:ascii="Wingdings" w:hAnsi="Wingdings" w:hint="default"/>
      </w:rPr>
    </w:lvl>
    <w:lvl w:ilvl="3" w:tplc="45AC2778">
      <w:start w:val="1"/>
      <w:numFmt w:val="bullet"/>
      <w:lvlText w:val=""/>
      <w:lvlJc w:val="left"/>
      <w:pPr>
        <w:ind w:left="2880" w:hanging="360"/>
      </w:pPr>
      <w:rPr>
        <w:rFonts w:ascii="Symbol" w:hAnsi="Symbol" w:hint="default"/>
      </w:rPr>
    </w:lvl>
    <w:lvl w:ilvl="4" w:tplc="7584E53C">
      <w:start w:val="1"/>
      <w:numFmt w:val="bullet"/>
      <w:lvlText w:val="o"/>
      <w:lvlJc w:val="left"/>
      <w:pPr>
        <w:ind w:left="3600" w:hanging="360"/>
      </w:pPr>
      <w:rPr>
        <w:rFonts w:ascii="Courier New" w:hAnsi="Courier New" w:hint="default"/>
      </w:rPr>
    </w:lvl>
    <w:lvl w:ilvl="5" w:tplc="ADF04D68">
      <w:start w:val="1"/>
      <w:numFmt w:val="bullet"/>
      <w:lvlText w:val=""/>
      <w:lvlJc w:val="left"/>
      <w:pPr>
        <w:ind w:left="4320" w:hanging="360"/>
      </w:pPr>
      <w:rPr>
        <w:rFonts w:ascii="Wingdings" w:hAnsi="Wingdings" w:hint="default"/>
      </w:rPr>
    </w:lvl>
    <w:lvl w:ilvl="6" w:tplc="EFAA15C6">
      <w:start w:val="1"/>
      <w:numFmt w:val="bullet"/>
      <w:lvlText w:val=""/>
      <w:lvlJc w:val="left"/>
      <w:pPr>
        <w:ind w:left="5040" w:hanging="360"/>
      </w:pPr>
      <w:rPr>
        <w:rFonts w:ascii="Symbol" w:hAnsi="Symbol" w:hint="default"/>
      </w:rPr>
    </w:lvl>
    <w:lvl w:ilvl="7" w:tplc="A0602164">
      <w:start w:val="1"/>
      <w:numFmt w:val="bullet"/>
      <w:lvlText w:val="o"/>
      <w:lvlJc w:val="left"/>
      <w:pPr>
        <w:ind w:left="5760" w:hanging="360"/>
      </w:pPr>
      <w:rPr>
        <w:rFonts w:ascii="Courier New" w:hAnsi="Courier New" w:hint="default"/>
      </w:rPr>
    </w:lvl>
    <w:lvl w:ilvl="8" w:tplc="63422F58">
      <w:start w:val="1"/>
      <w:numFmt w:val="bullet"/>
      <w:lvlText w:val=""/>
      <w:lvlJc w:val="left"/>
      <w:pPr>
        <w:ind w:left="6480" w:hanging="360"/>
      </w:pPr>
      <w:rPr>
        <w:rFonts w:ascii="Wingdings" w:hAnsi="Wingdings" w:hint="default"/>
      </w:rPr>
    </w:lvl>
  </w:abstractNum>
  <w:abstractNum w:abstractNumId="42" w15:restartNumberingAfterBreak="0">
    <w:nsid w:val="775B2B00"/>
    <w:multiLevelType w:val="hybridMultilevel"/>
    <w:tmpl w:val="C4BC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66E82"/>
    <w:multiLevelType w:val="hybridMultilevel"/>
    <w:tmpl w:val="9976EF6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881478284">
    <w:abstractNumId w:val="39"/>
  </w:num>
  <w:num w:numId="2" w16cid:durableId="758254969">
    <w:abstractNumId w:val="37"/>
  </w:num>
  <w:num w:numId="3" w16cid:durableId="931623276">
    <w:abstractNumId w:val="10"/>
  </w:num>
  <w:num w:numId="4" w16cid:durableId="374357374">
    <w:abstractNumId w:val="41"/>
  </w:num>
  <w:num w:numId="5" w16cid:durableId="997004126">
    <w:abstractNumId w:val="32"/>
  </w:num>
  <w:num w:numId="6" w16cid:durableId="526790809">
    <w:abstractNumId w:val="9"/>
  </w:num>
  <w:num w:numId="7" w16cid:durableId="446966838">
    <w:abstractNumId w:val="34"/>
  </w:num>
  <w:num w:numId="8" w16cid:durableId="124088483">
    <w:abstractNumId w:val="7"/>
  </w:num>
  <w:num w:numId="9" w16cid:durableId="379478149">
    <w:abstractNumId w:val="18"/>
  </w:num>
  <w:num w:numId="10" w16cid:durableId="67849509">
    <w:abstractNumId w:val="43"/>
  </w:num>
  <w:num w:numId="11" w16cid:durableId="221865174">
    <w:abstractNumId w:val="0"/>
  </w:num>
  <w:num w:numId="12" w16cid:durableId="184560856">
    <w:abstractNumId w:val="3"/>
  </w:num>
  <w:num w:numId="13" w16cid:durableId="1989165584">
    <w:abstractNumId w:val="25"/>
  </w:num>
  <w:num w:numId="14" w16cid:durableId="1896966604">
    <w:abstractNumId w:val="27"/>
  </w:num>
  <w:num w:numId="15" w16cid:durableId="738599311">
    <w:abstractNumId w:val="40"/>
  </w:num>
  <w:num w:numId="16" w16cid:durableId="1989477134">
    <w:abstractNumId w:val="22"/>
  </w:num>
  <w:num w:numId="17" w16cid:durableId="57560145">
    <w:abstractNumId w:val="24"/>
  </w:num>
  <w:num w:numId="18" w16cid:durableId="2019769113">
    <w:abstractNumId w:val="28"/>
  </w:num>
  <w:num w:numId="19" w16cid:durableId="491987086">
    <w:abstractNumId w:val="21"/>
  </w:num>
  <w:num w:numId="20" w16cid:durableId="1975870081">
    <w:abstractNumId w:val="33"/>
  </w:num>
  <w:num w:numId="21" w16cid:durableId="1125390747">
    <w:abstractNumId w:val="6"/>
  </w:num>
  <w:num w:numId="22" w16cid:durableId="442650894">
    <w:abstractNumId w:val="2"/>
  </w:num>
  <w:num w:numId="23" w16cid:durableId="359169217">
    <w:abstractNumId w:val="14"/>
  </w:num>
  <w:num w:numId="24" w16cid:durableId="111754210">
    <w:abstractNumId w:val="26"/>
  </w:num>
  <w:num w:numId="25" w16cid:durableId="1144276327">
    <w:abstractNumId w:val="20"/>
  </w:num>
  <w:num w:numId="26" w16cid:durableId="79565424">
    <w:abstractNumId w:val="4"/>
  </w:num>
  <w:num w:numId="27" w16cid:durableId="526407620">
    <w:abstractNumId w:val="29"/>
  </w:num>
  <w:num w:numId="28" w16cid:durableId="590502948">
    <w:abstractNumId w:val="17"/>
  </w:num>
  <w:num w:numId="29" w16cid:durableId="1668050921">
    <w:abstractNumId w:val="12"/>
  </w:num>
  <w:num w:numId="30" w16cid:durableId="180901316">
    <w:abstractNumId w:val="1"/>
  </w:num>
  <w:num w:numId="31" w16cid:durableId="828912186">
    <w:abstractNumId w:val="35"/>
  </w:num>
  <w:num w:numId="32" w16cid:durableId="1868372559">
    <w:abstractNumId w:val="15"/>
  </w:num>
  <w:num w:numId="33" w16cid:durableId="1834182566">
    <w:abstractNumId w:val="38"/>
  </w:num>
  <w:num w:numId="34" w16cid:durableId="1729450848">
    <w:abstractNumId w:val="31"/>
  </w:num>
  <w:num w:numId="35" w16cid:durableId="1274435633">
    <w:abstractNumId w:val="8"/>
  </w:num>
  <w:num w:numId="36" w16cid:durableId="2104715918">
    <w:abstractNumId w:val="30"/>
  </w:num>
  <w:num w:numId="37" w16cid:durableId="1583028869">
    <w:abstractNumId w:val="11"/>
  </w:num>
  <w:num w:numId="38" w16cid:durableId="16392625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3976553">
    <w:abstractNumId w:val="5"/>
  </w:num>
  <w:num w:numId="40" w16cid:durableId="508451442">
    <w:abstractNumId w:val="16"/>
  </w:num>
  <w:num w:numId="41" w16cid:durableId="2084327595">
    <w:abstractNumId w:val="13"/>
  </w:num>
  <w:num w:numId="42" w16cid:durableId="11960419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7093670">
    <w:abstractNumId w:val="19"/>
  </w:num>
  <w:num w:numId="44" w16cid:durableId="85164471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05"/>
    <w:rsid w:val="00001686"/>
    <w:rsid w:val="00001C11"/>
    <w:rsid w:val="0000336D"/>
    <w:rsid w:val="0000656F"/>
    <w:rsid w:val="00006935"/>
    <w:rsid w:val="00007268"/>
    <w:rsid w:val="000115B7"/>
    <w:rsid w:val="00011D51"/>
    <w:rsid w:val="00011EF6"/>
    <w:rsid w:val="0001228C"/>
    <w:rsid w:val="00013989"/>
    <w:rsid w:val="000149C3"/>
    <w:rsid w:val="0001563F"/>
    <w:rsid w:val="00024802"/>
    <w:rsid w:val="00024CBB"/>
    <w:rsid w:val="0002618E"/>
    <w:rsid w:val="0003261B"/>
    <w:rsid w:val="00032796"/>
    <w:rsid w:val="00034B37"/>
    <w:rsid w:val="000368CB"/>
    <w:rsid w:val="00041586"/>
    <w:rsid w:val="0004251F"/>
    <w:rsid w:val="0004401E"/>
    <w:rsid w:val="00045FFC"/>
    <w:rsid w:val="000503B2"/>
    <w:rsid w:val="00051BD0"/>
    <w:rsid w:val="000526EB"/>
    <w:rsid w:val="00053B7B"/>
    <w:rsid w:val="00055000"/>
    <w:rsid w:val="00055433"/>
    <w:rsid w:val="00057C7B"/>
    <w:rsid w:val="00061295"/>
    <w:rsid w:val="0006131D"/>
    <w:rsid w:val="00062317"/>
    <w:rsid w:val="00063C41"/>
    <w:rsid w:val="00064099"/>
    <w:rsid w:val="000644E0"/>
    <w:rsid w:val="00064A94"/>
    <w:rsid w:val="00066350"/>
    <w:rsid w:val="0007434E"/>
    <w:rsid w:val="00075405"/>
    <w:rsid w:val="000757F5"/>
    <w:rsid w:val="00075B1C"/>
    <w:rsid w:val="000827A3"/>
    <w:rsid w:val="00083E01"/>
    <w:rsid w:val="0008689E"/>
    <w:rsid w:val="00086A9B"/>
    <w:rsid w:val="00090A50"/>
    <w:rsid w:val="000937E0"/>
    <w:rsid w:val="00094828"/>
    <w:rsid w:val="000A3D90"/>
    <w:rsid w:val="000A3DA0"/>
    <w:rsid w:val="000A4F01"/>
    <w:rsid w:val="000A525F"/>
    <w:rsid w:val="000A769D"/>
    <w:rsid w:val="000B4E03"/>
    <w:rsid w:val="000B4E50"/>
    <w:rsid w:val="000C3196"/>
    <w:rsid w:val="000C3E74"/>
    <w:rsid w:val="000C4E80"/>
    <w:rsid w:val="000C737F"/>
    <w:rsid w:val="000D0F2B"/>
    <w:rsid w:val="000D23AA"/>
    <w:rsid w:val="000D7874"/>
    <w:rsid w:val="000E092F"/>
    <w:rsid w:val="000E4013"/>
    <w:rsid w:val="000E4F57"/>
    <w:rsid w:val="000F07D4"/>
    <w:rsid w:val="000F0BA0"/>
    <w:rsid w:val="000F0E64"/>
    <w:rsid w:val="000F27E1"/>
    <w:rsid w:val="000F2B9A"/>
    <w:rsid w:val="000F2D22"/>
    <w:rsid w:val="000F47E2"/>
    <w:rsid w:val="000F48C2"/>
    <w:rsid w:val="000F591B"/>
    <w:rsid w:val="00101306"/>
    <w:rsid w:val="001034C1"/>
    <w:rsid w:val="0010479B"/>
    <w:rsid w:val="00104EB0"/>
    <w:rsid w:val="00106D53"/>
    <w:rsid w:val="00106EAC"/>
    <w:rsid w:val="00111E21"/>
    <w:rsid w:val="00114B65"/>
    <w:rsid w:val="001160AE"/>
    <w:rsid w:val="00116558"/>
    <w:rsid w:val="001205AB"/>
    <w:rsid w:val="00122D07"/>
    <w:rsid w:val="00125CB9"/>
    <w:rsid w:val="001351F3"/>
    <w:rsid w:val="001400DF"/>
    <w:rsid w:val="00141516"/>
    <w:rsid w:val="0014198C"/>
    <w:rsid w:val="00143EAD"/>
    <w:rsid w:val="0014512D"/>
    <w:rsid w:val="001451C2"/>
    <w:rsid w:val="00145C95"/>
    <w:rsid w:val="001468C9"/>
    <w:rsid w:val="00146F0D"/>
    <w:rsid w:val="00147D29"/>
    <w:rsid w:val="0015011E"/>
    <w:rsid w:val="00150904"/>
    <w:rsid w:val="00151EB4"/>
    <w:rsid w:val="001523C9"/>
    <w:rsid w:val="00155BA0"/>
    <w:rsid w:val="0015654A"/>
    <w:rsid w:val="00157D74"/>
    <w:rsid w:val="001607A7"/>
    <w:rsid w:val="0016373A"/>
    <w:rsid w:val="00164EEF"/>
    <w:rsid w:val="00166397"/>
    <w:rsid w:val="00167C48"/>
    <w:rsid w:val="00172E5E"/>
    <w:rsid w:val="00173058"/>
    <w:rsid w:val="00176540"/>
    <w:rsid w:val="00177046"/>
    <w:rsid w:val="00177690"/>
    <w:rsid w:val="001777E0"/>
    <w:rsid w:val="0018354B"/>
    <w:rsid w:val="0018748D"/>
    <w:rsid w:val="00187C8C"/>
    <w:rsid w:val="00190634"/>
    <w:rsid w:val="00190A22"/>
    <w:rsid w:val="00193555"/>
    <w:rsid w:val="001954B6"/>
    <w:rsid w:val="00195840"/>
    <w:rsid w:val="001964DB"/>
    <w:rsid w:val="0019672D"/>
    <w:rsid w:val="00197C1C"/>
    <w:rsid w:val="001A03B6"/>
    <w:rsid w:val="001A211C"/>
    <w:rsid w:val="001A2BB6"/>
    <w:rsid w:val="001A5430"/>
    <w:rsid w:val="001A6F6C"/>
    <w:rsid w:val="001A7D2C"/>
    <w:rsid w:val="001B04E8"/>
    <w:rsid w:val="001B09D3"/>
    <w:rsid w:val="001B358C"/>
    <w:rsid w:val="001B524E"/>
    <w:rsid w:val="001B621D"/>
    <w:rsid w:val="001B70A2"/>
    <w:rsid w:val="001C018C"/>
    <w:rsid w:val="001C12B8"/>
    <w:rsid w:val="001C549F"/>
    <w:rsid w:val="001C6278"/>
    <w:rsid w:val="001C63A2"/>
    <w:rsid w:val="001C655B"/>
    <w:rsid w:val="001C687E"/>
    <w:rsid w:val="001C7053"/>
    <w:rsid w:val="001C72A5"/>
    <w:rsid w:val="001C7FDF"/>
    <w:rsid w:val="001D38BA"/>
    <w:rsid w:val="001D4E74"/>
    <w:rsid w:val="001D5410"/>
    <w:rsid w:val="001D6556"/>
    <w:rsid w:val="001D66A7"/>
    <w:rsid w:val="001D7996"/>
    <w:rsid w:val="001E0FF6"/>
    <w:rsid w:val="001E23D4"/>
    <w:rsid w:val="001E4360"/>
    <w:rsid w:val="001E5EF0"/>
    <w:rsid w:val="001E6EE2"/>
    <w:rsid w:val="001E7835"/>
    <w:rsid w:val="001F0139"/>
    <w:rsid w:val="001F1665"/>
    <w:rsid w:val="001F380F"/>
    <w:rsid w:val="001F3F8E"/>
    <w:rsid w:val="001F49DD"/>
    <w:rsid w:val="001F56B2"/>
    <w:rsid w:val="001F5CE5"/>
    <w:rsid w:val="001F5F05"/>
    <w:rsid w:val="001F6F73"/>
    <w:rsid w:val="00200061"/>
    <w:rsid w:val="00200246"/>
    <w:rsid w:val="00201B2A"/>
    <w:rsid w:val="002020A2"/>
    <w:rsid w:val="00204D4F"/>
    <w:rsid w:val="002072C8"/>
    <w:rsid w:val="0021055B"/>
    <w:rsid w:val="00220A8C"/>
    <w:rsid w:val="00220DA7"/>
    <w:rsid w:val="00224075"/>
    <w:rsid w:val="002277A3"/>
    <w:rsid w:val="00227EB7"/>
    <w:rsid w:val="00230D0E"/>
    <w:rsid w:val="002328A0"/>
    <w:rsid w:val="002340C5"/>
    <w:rsid w:val="00235FDF"/>
    <w:rsid w:val="00240B46"/>
    <w:rsid w:val="00251991"/>
    <w:rsid w:val="0025330C"/>
    <w:rsid w:val="002547E4"/>
    <w:rsid w:val="00254D1B"/>
    <w:rsid w:val="00255B97"/>
    <w:rsid w:val="00256A11"/>
    <w:rsid w:val="00257289"/>
    <w:rsid w:val="002603AB"/>
    <w:rsid w:val="002633D2"/>
    <w:rsid w:val="002635BB"/>
    <w:rsid w:val="00263D38"/>
    <w:rsid w:val="00264C07"/>
    <w:rsid w:val="00264CCC"/>
    <w:rsid w:val="00265238"/>
    <w:rsid w:val="0026532D"/>
    <w:rsid w:val="00265539"/>
    <w:rsid w:val="00265778"/>
    <w:rsid w:val="00267558"/>
    <w:rsid w:val="0027018C"/>
    <w:rsid w:val="00276C6B"/>
    <w:rsid w:val="002778AA"/>
    <w:rsid w:val="00277E4B"/>
    <w:rsid w:val="00281A8A"/>
    <w:rsid w:val="00281E01"/>
    <w:rsid w:val="00284062"/>
    <w:rsid w:val="00292189"/>
    <w:rsid w:val="00292295"/>
    <w:rsid w:val="00294B77"/>
    <w:rsid w:val="00297D56"/>
    <w:rsid w:val="002A0E82"/>
    <w:rsid w:val="002A25C8"/>
    <w:rsid w:val="002A4E94"/>
    <w:rsid w:val="002A53BD"/>
    <w:rsid w:val="002A64F1"/>
    <w:rsid w:val="002B3E22"/>
    <w:rsid w:val="002B597D"/>
    <w:rsid w:val="002B7F3E"/>
    <w:rsid w:val="002C1480"/>
    <w:rsid w:val="002C1EB1"/>
    <w:rsid w:val="002C2EAA"/>
    <w:rsid w:val="002C3DFA"/>
    <w:rsid w:val="002C7BEC"/>
    <w:rsid w:val="002D0F62"/>
    <w:rsid w:val="002D12C2"/>
    <w:rsid w:val="002D6682"/>
    <w:rsid w:val="002D74B7"/>
    <w:rsid w:val="002E05F5"/>
    <w:rsid w:val="002E0B7A"/>
    <w:rsid w:val="002E4E82"/>
    <w:rsid w:val="002F0A70"/>
    <w:rsid w:val="002F0EAF"/>
    <w:rsid w:val="002F21C3"/>
    <w:rsid w:val="002F30CA"/>
    <w:rsid w:val="002F358B"/>
    <w:rsid w:val="002F4737"/>
    <w:rsid w:val="002F6344"/>
    <w:rsid w:val="002F6E87"/>
    <w:rsid w:val="00300CE6"/>
    <w:rsid w:val="003016D5"/>
    <w:rsid w:val="00301A99"/>
    <w:rsid w:val="00302CCC"/>
    <w:rsid w:val="00305126"/>
    <w:rsid w:val="00306940"/>
    <w:rsid w:val="003122F5"/>
    <w:rsid w:val="0031596D"/>
    <w:rsid w:val="003202E7"/>
    <w:rsid w:val="0032059B"/>
    <w:rsid w:val="00321C1F"/>
    <w:rsid w:val="00322BB3"/>
    <w:rsid w:val="0032302A"/>
    <w:rsid w:val="00326EC6"/>
    <w:rsid w:val="003273D5"/>
    <w:rsid w:val="003311EF"/>
    <w:rsid w:val="00332584"/>
    <w:rsid w:val="0033468D"/>
    <w:rsid w:val="00334D49"/>
    <w:rsid w:val="0033555D"/>
    <w:rsid w:val="003402E3"/>
    <w:rsid w:val="003439A2"/>
    <w:rsid w:val="00344758"/>
    <w:rsid w:val="003461AC"/>
    <w:rsid w:val="003525C5"/>
    <w:rsid w:val="003545B6"/>
    <w:rsid w:val="00354B62"/>
    <w:rsid w:val="00363D91"/>
    <w:rsid w:val="0037007B"/>
    <w:rsid w:val="00371426"/>
    <w:rsid w:val="003759AC"/>
    <w:rsid w:val="00375BB0"/>
    <w:rsid w:val="0037618C"/>
    <w:rsid w:val="00376FCA"/>
    <w:rsid w:val="003845DF"/>
    <w:rsid w:val="003852DC"/>
    <w:rsid w:val="00396B3B"/>
    <w:rsid w:val="003A170F"/>
    <w:rsid w:val="003A332A"/>
    <w:rsid w:val="003A3530"/>
    <w:rsid w:val="003A42BE"/>
    <w:rsid w:val="003B07BF"/>
    <w:rsid w:val="003B31E6"/>
    <w:rsid w:val="003B3D7E"/>
    <w:rsid w:val="003B495B"/>
    <w:rsid w:val="003B6F27"/>
    <w:rsid w:val="003C0EC5"/>
    <w:rsid w:val="003C4C34"/>
    <w:rsid w:val="003D1096"/>
    <w:rsid w:val="003D1941"/>
    <w:rsid w:val="003E072A"/>
    <w:rsid w:val="003E2250"/>
    <w:rsid w:val="003E6A8A"/>
    <w:rsid w:val="003F020C"/>
    <w:rsid w:val="003F0D2D"/>
    <w:rsid w:val="003F13C6"/>
    <w:rsid w:val="003F2333"/>
    <w:rsid w:val="003F3242"/>
    <w:rsid w:val="003F4DFC"/>
    <w:rsid w:val="003F7712"/>
    <w:rsid w:val="0040400E"/>
    <w:rsid w:val="0040496B"/>
    <w:rsid w:val="00410828"/>
    <w:rsid w:val="00411444"/>
    <w:rsid w:val="0041320A"/>
    <w:rsid w:val="004135AA"/>
    <w:rsid w:val="00413E82"/>
    <w:rsid w:val="004143B9"/>
    <w:rsid w:val="004154EB"/>
    <w:rsid w:val="00416B0D"/>
    <w:rsid w:val="00420501"/>
    <w:rsid w:val="0042105D"/>
    <w:rsid w:val="004238D4"/>
    <w:rsid w:val="0042401E"/>
    <w:rsid w:val="0042509C"/>
    <w:rsid w:val="00425669"/>
    <w:rsid w:val="00426357"/>
    <w:rsid w:val="00426B7A"/>
    <w:rsid w:val="00426F4F"/>
    <w:rsid w:val="0042739E"/>
    <w:rsid w:val="00433928"/>
    <w:rsid w:val="004348AB"/>
    <w:rsid w:val="00435517"/>
    <w:rsid w:val="004355D7"/>
    <w:rsid w:val="00435AF3"/>
    <w:rsid w:val="004378F9"/>
    <w:rsid w:val="00440629"/>
    <w:rsid w:val="00444015"/>
    <w:rsid w:val="004448C3"/>
    <w:rsid w:val="00445837"/>
    <w:rsid w:val="0045033E"/>
    <w:rsid w:val="00451051"/>
    <w:rsid w:val="00451B63"/>
    <w:rsid w:val="0045204F"/>
    <w:rsid w:val="00453FD4"/>
    <w:rsid w:val="00455E86"/>
    <w:rsid w:val="00456FE1"/>
    <w:rsid w:val="00457C25"/>
    <w:rsid w:val="0046087C"/>
    <w:rsid w:val="0047061B"/>
    <w:rsid w:val="00471108"/>
    <w:rsid w:val="0047408E"/>
    <w:rsid w:val="00474337"/>
    <w:rsid w:val="00474C3B"/>
    <w:rsid w:val="004777A6"/>
    <w:rsid w:val="004802D9"/>
    <w:rsid w:val="004818A8"/>
    <w:rsid w:val="0048279D"/>
    <w:rsid w:val="00482AED"/>
    <w:rsid w:val="004870AD"/>
    <w:rsid w:val="0049315D"/>
    <w:rsid w:val="00495398"/>
    <w:rsid w:val="0049569E"/>
    <w:rsid w:val="004957FA"/>
    <w:rsid w:val="00495825"/>
    <w:rsid w:val="004970CB"/>
    <w:rsid w:val="00497843"/>
    <w:rsid w:val="004A0636"/>
    <w:rsid w:val="004A075C"/>
    <w:rsid w:val="004A1064"/>
    <w:rsid w:val="004A3826"/>
    <w:rsid w:val="004A3984"/>
    <w:rsid w:val="004A53F7"/>
    <w:rsid w:val="004A5952"/>
    <w:rsid w:val="004A6256"/>
    <w:rsid w:val="004A6797"/>
    <w:rsid w:val="004A71D5"/>
    <w:rsid w:val="004B0768"/>
    <w:rsid w:val="004B2C28"/>
    <w:rsid w:val="004B5D44"/>
    <w:rsid w:val="004B6C1F"/>
    <w:rsid w:val="004B7E10"/>
    <w:rsid w:val="004C0627"/>
    <w:rsid w:val="004C0694"/>
    <w:rsid w:val="004C139E"/>
    <w:rsid w:val="004C3F56"/>
    <w:rsid w:val="004D0413"/>
    <w:rsid w:val="004D1C9E"/>
    <w:rsid w:val="004D3471"/>
    <w:rsid w:val="004D719E"/>
    <w:rsid w:val="004E181E"/>
    <w:rsid w:val="004E2F25"/>
    <w:rsid w:val="004E570B"/>
    <w:rsid w:val="004E704D"/>
    <w:rsid w:val="004F1C20"/>
    <w:rsid w:val="004F34FA"/>
    <w:rsid w:val="004F5DA8"/>
    <w:rsid w:val="004F6E3B"/>
    <w:rsid w:val="00500AF7"/>
    <w:rsid w:val="00501E00"/>
    <w:rsid w:val="005029EC"/>
    <w:rsid w:val="00504D06"/>
    <w:rsid w:val="00506D6E"/>
    <w:rsid w:val="00510822"/>
    <w:rsid w:val="00510E04"/>
    <w:rsid w:val="00512E7F"/>
    <w:rsid w:val="00515BDA"/>
    <w:rsid w:val="00520B83"/>
    <w:rsid w:val="00524164"/>
    <w:rsid w:val="005268A0"/>
    <w:rsid w:val="00526F86"/>
    <w:rsid w:val="0052752F"/>
    <w:rsid w:val="00532AFF"/>
    <w:rsid w:val="00535ECD"/>
    <w:rsid w:val="0054186D"/>
    <w:rsid w:val="005435F7"/>
    <w:rsid w:val="0054374B"/>
    <w:rsid w:val="005446F2"/>
    <w:rsid w:val="0054663D"/>
    <w:rsid w:val="005469FE"/>
    <w:rsid w:val="00546EB2"/>
    <w:rsid w:val="00551F12"/>
    <w:rsid w:val="0055286D"/>
    <w:rsid w:val="00555859"/>
    <w:rsid w:val="0055708C"/>
    <w:rsid w:val="00557E11"/>
    <w:rsid w:val="00563FE8"/>
    <w:rsid w:val="00564749"/>
    <w:rsid w:val="0056505D"/>
    <w:rsid w:val="00565E0C"/>
    <w:rsid w:val="0057339F"/>
    <w:rsid w:val="00573AE8"/>
    <w:rsid w:val="00575891"/>
    <w:rsid w:val="005762EE"/>
    <w:rsid w:val="00576662"/>
    <w:rsid w:val="00577FF6"/>
    <w:rsid w:val="00581F48"/>
    <w:rsid w:val="00583D5C"/>
    <w:rsid w:val="00584356"/>
    <w:rsid w:val="005851C4"/>
    <w:rsid w:val="00587B6A"/>
    <w:rsid w:val="00590DE3"/>
    <w:rsid w:val="005910B0"/>
    <w:rsid w:val="00592BEA"/>
    <w:rsid w:val="00592F58"/>
    <w:rsid w:val="00593575"/>
    <w:rsid w:val="0059513C"/>
    <w:rsid w:val="005A2A06"/>
    <w:rsid w:val="005A439A"/>
    <w:rsid w:val="005A598B"/>
    <w:rsid w:val="005A6A81"/>
    <w:rsid w:val="005A71C5"/>
    <w:rsid w:val="005B01D5"/>
    <w:rsid w:val="005B0358"/>
    <w:rsid w:val="005B1F08"/>
    <w:rsid w:val="005B2FA1"/>
    <w:rsid w:val="005B3012"/>
    <w:rsid w:val="005B4EC1"/>
    <w:rsid w:val="005C03F2"/>
    <w:rsid w:val="005C1448"/>
    <w:rsid w:val="005C180B"/>
    <w:rsid w:val="005C2BD5"/>
    <w:rsid w:val="005C2F44"/>
    <w:rsid w:val="005C45AD"/>
    <w:rsid w:val="005C4E87"/>
    <w:rsid w:val="005C5C8B"/>
    <w:rsid w:val="005C6097"/>
    <w:rsid w:val="005C6AAB"/>
    <w:rsid w:val="005C7AEC"/>
    <w:rsid w:val="005D2105"/>
    <w:rsid w:val="005D55B3"/>
    <w:rsid w:val="005D6D31"/>
    <w:rsid w:val="005E26F1"/>
    <w:rsid w:val="005E5B78"/>
    <w:rsid w:val="005F2692"/>
    <w:rsid w:val="005F2C3E"/>
    <w:rsid w:val="005F51C7"/>
    <w:rsid w:val="005F614F"/>
    <w:rsid w:val="005F6A45"/>
    <w:rsid w:val="005F756E"/>
    <w:rsid w:val="00603830"/>
    <w:rsid w:val="00603B74"/>
    <w:rsid w:val="00605102"/>
    <w:rsid w:val="006057C3"/>
    <w:rsid w:val="00606354"/>
    <w:rsid w:val="00606F23"/>
    <w:rsid w:val="00610B3C"/>
    <w:rsid w:val="00610B5F"/>
    <w:rsid w:val="00612BC0"/>
    <w:rsid w:val="00612C1A"/>
    <w:rsid w:val="00613009"/>
    <w:rsid w:val="00613593"/>
    <w:rsid w:val="00616FA3"/>
    <w:rsid w:val="00626031"/>
    <w:rsid w:val="0063362C"/>
    <w:rsid w:val="00635A8A"/>
    <w:rsid w:val="006371F2"/>
    <w:rsid w:val="006407B1"/>
    <w:rsid w:val="00641463"/>
    <w:rsid w:val="00642FA7"/>
    <w:rsid w:val="0064531E"/>
    <w:rsid w:val="00645598"/>
    <w:rsid w:val="00645C89"/>
    <w:rsid w:val="00646519"/>
    <w:rsid w:val="00646DD5"/>
    <w:rsid w:val="00650968"/>
    <w:rsid w:val="00652F82"/>
    <w:rsid w:val="00653401"/>
    <w:rsid w:val="00654DFF"/>
    <w:rsid w:val="00654ED3"/>
    <w:rsid w:val="006556F7"/>
    <w:rsid w:val="00660EED"/>
    <w:rsid w:val="00661C11"/>
    <w:rsid w:val="00661FD9"/>
    <w:rsid w:val="0066285B"/>
    <w:rsid w:val="00670038"/>
    <w:rsid w:val="00671FBB"/>
    <w:rsid w:val="00672D24"/>
    <w:rsid w:val="006731A1"/>
    <w:rsid w:val="0067360E"/>
    <w:rsid w:val="006742CE"/>
    <w:rsid w:val="0067473A"/>
    <w:rsid w:val="00677684"/>
    <w:rsid w:val="006819E4"/>
    <w:rsid w:val="00682E73"/>
    <w:rsid w:val="00687500"/>
    <w:rsid w:val="0069036F"/>
    <w:rsid w:val="00690ECB"/>
    <w:rsid w:val="00693142"/>
    <w:rsid w:val="00694E78"/>
    <w:rsid w:val="006955C7"/>
    <w:rsid w:val="00696667"/>
    <w:rsid w:val="006966BF"/>
    <w:rsid w:val="00697A06"/>
    <w:rsid w:val="006A1FB1"/>
    <w:rsid w:val="006A2344"/>
    <w:rsid w:val="006A5B99"/>
    <w:rsid w:val="006A6257"/>
    <w:rsid w:val="006A65D5"/>
    <w:rsid w:val="006A6AE3"/>
    <w:rsid w:val="006A7C57"/>
    <w:rsid w:val="006B45FE"/>
    <w:rsid w:val="006B7351"/>
    <w:rsid w:val="006B782F"/>
    <w:rsid w:val="006C276F"/>
    <w:rsid w:val="006C2909"/>
    <w:rsid w:val="006C361A"/>
    <w:rsid w:val="006C5224"/>
    <w:rsid w:val="006C5A20"/>
    <w:rsid w:val="006C7A14"/>
    <w:rsid w:val="006D0705"/>
    <w:rsid w:val="006D0CD1"/>
    <w:rsid w:val="006D2CF6"/>
    <w:rsid w:val="006D728E"/>
    <w:rsid w:val="006D72E7"/>
    <w:rsid w:val="006D72EB"/>
    <w:rsid w:val="006D75EC"/>
    <w:rsid w:val="006E51AC"/>
    <w:rsid w:val="006E586A"/>
    <w:rsid w:val="006E5EEB"/>
    <w:rsid w:val="006F04E8"/>
    <w:rsid w:val="006F12E1"/>
    <w:rsid w:val="006F406F"/>
    <w:rsid w:val="006F7616"/>
    <w:rsid w:val="0070011F"/>
    <w:rsid w:val="00700AAA"/>
    <w:rsid w:val="00700C37"/>
    <w:rsid w:val="007051CB"/>
    <w:rsid w:val="00705EB9"/>
    <w:rsid w:val="007112B4"/>
    <w:rsid w:val="00712718"/>
    <w:rsid w:val="00712775"/>
    <w:rsid w:val="00712900"/>
    <w:rsid w:val="00713494"/>
    <w:rsid w:val="00713CD2"/>
    <w:rsid w:val="00713FCA"/>
    <w:rsid w:val="00714D78"/>
    <w:rsid w:val="007202FA"/>
    <w:rsid w:val="00722DAE"/>
    <w:rsid w:val="00723F5C"/>
    <w:rsid w:val="00724001"/>
    <w:rsid w:val="00724DD1"/>
    <w:rsid w:val="00730616"/>
    <w:rsid w:val="00732C89"/>
    <w:rsid w:val="007339BB"/>
    <w:rsid w:val="00736628"/>
    <w:rsid w:val="0074133B"/>
    <w:rsid w:val="00742E14"/>
    <w:rsid w:val="00745B54"/>
    <w:rsid w:val="00746327"/>
    <w:rsid w:val="00746369"/>
    <w:rsid w:val="00747095"/>
    <w:rsid w:val="00747D21"/>
    <w:rsid w:val="00750A71"/>
    <w:rsid w:val="0075429B"/>
    <w:rsid w:val="00755FF8"/>
    <w:rsid w:val="0075709D"/>
    <w:rsid w:val="00757F12"/>
    <w:rsid w:val="00761B4D"/>
    <w:rsid w:val="00765835"/>
    <w:rsid w:val="0076592E"/>
    <w:rsid w:val="00766426"/>
    <w:rsid w:val="00766A88"/>
    <w:rsid w:val="007679A0"/>
    <w:rsid w:val="0077449B"/>
    <w:rsid w:val="00774DCA"/>
    <w:rsid w:val="00775D07"/>
    <w:rsid w:val="0077797D"/>
    <w:rsid w:val="0078094C"/>
    <w:rsid w:val="00780C40"/>
    <w:rsid w:val="00780E84"/>
    <w:rsid w:val="00784B79"/>
    <w:rsid w:val="00787D09"/>
    <w:rsid w:val="0079101C"/>
    <w:rsid w:val="0079477A"/>
    <w:rsid w:val="007947B1"/>
    <w:rsid w:val="00794801"/>
    <w:rsid w:val="00794C09"/>
    <w:rsid w:val="00795005"/>
    <w:rsid w:val="00795CE4"/>
    <w:rsid w:val="00797BF2"/>
    <w:rsid w:val="007A0A0C"/>
    <w:rsid w:val="007A2773"/>
    <w:rsid w:val="007A4A15"/>
    <w:rsid w:val="007A6B1E"/>
    <w:rsid w:val="007A7FA6"/>
    <w:rsid w:val="007B2E19"/>
    <w:rsid w:val="007C01C7"/>
    <w:rsid w:val="007C24F1"/>
    <w:rsid w:val="007C2684"/>
    <w:rsid w:val="007C3075"/>
    <w:rsid w:val="007C5785"/>
    <w:rsid w:val="007C70C6"/>
    <w:rsid w:val="007D00D8"/>
    <w:rsid w:val="007D1824"/>
    <w:rsid w:val="007D2FFB"/>
    <w:rsid w:val="007D31C6"/>
    <w:rsid w:val="007D335A"/>
    <w:rsid w:val="007D33EE"/>
    <w:rsid w:val="007D501D"/>
    <w:rsid w:val="007D5730"/>
    <w:rsid w:val="007D649F"/>
    <w:rsid w:val="007D6A08"/>
    <w:rsid w:val="007D755A"/>
    <w:rsid w:val="007E00E8"/>
    <w:rsid w:val="007E380B"/>
    <w:rsid w:val="007E3DB6"/>
    <w:rsid w:val="007E49B2"/>
    <w:rsid w:val="007E4D9B"/>
    <w:rsid w:val="007E6284"/>
    <w:rsid w:val="007E6BF7"/>
    <w:rsid w:val="007E7151"/>
    <w:rsid w:val="00800C53"/>
    <w:rsid w:val="00802487"/>
    <w:rsid w:val="0080248A"/>
    <w:rsid w:val="0080277D"/>
    <w:rsid w:val="008032F7"/>
    <w:rsid w:val="0080486B"/>
    <w:rsid w:val="00804C0A"/>
    <w:rsid w:val="00812360"/>
    <w:rsid w:val="00814DB3"/>
    <w:rsid w:val="00814F83"/>
    <w:rsid w:val="00815393"/>
    <w:rsid w:val="00815EA1"/>
    <w:rsid w:val="00816325"/>
    <w:rsid w:val="00821159"/>
    <w:rsid w:val="0082293B"/>
    <w:rsid w:val="00823EB0"/>
    <w:rsid w:val="00825ACB"/>
    <w:rsid w:val="008317E9"/>
    <w:rsid w:val="00832F70"/>
    <w:rsid w:val="0083467B"/>
    <w:rsid w:val="00836EAB"/>
    <w:rsid w:val="00843092"/>
    <w:rsid w:val="008444B7"/>
    <w:rsid w:val="00847F3A"/>
    <w:rsid w:val="008504C8"/>
    <w:rsid w:val="00853731"/>
    <w:rsid w:val="008571C6"/>
    <w:rsid w:val="00861436"/>
    <w:rsid w:val="00862477"/>
    <w:rsid w:val="008670E5"/>
    <w:rsid w:val="0086764A"/>
    <w:rsid w:val="00867B0D"/>
    <w:rsid w:val="008707CB"/>
    <w:rsid w:val="008711FF"/>
    <w:rsid w:val="008721FF"/>
    <w:rsid w:val="00872434"/>
    <w:rsid w:val="00872BF5"/>
    <w:rsid w:val="00873734"/>
    <w:rsid w:val="00877042"/>
    <w:rsid w:val="00881031"/>
    <w:rsid w:val="008821A7"/>
    <w:rsid w:val="00882517"/>
    <w:rsid w:val="00883B7F"/>
    <w:rsid w:val="008847BB"/>
    <w:rsid w:val="008851A0"/>
    <w:rsid w:val="00885A53"/>
    <w:rsid w:val="00887F1C"/>
    <w:rsid w:val="00891061"/>
    <w:rsid w:val="008922D4"/>
    <w:rsid w:val="0089330D"/>
    <w:rsid w:val="00894FA8"/>
    <w:rsid w:val="008A39CA"/>
    <w:rsid w:val="008A53F7"/>
    <w:rsid w:val="008A5C17"/>
    <w:rsid w:val="008A632E"/>
    <w:rsid w:val="008A6696"/>
    <w:rsid w:val="008A6D73"/>
    <w:rsid w:val="008B1D8E"/>
    <w:rsid w:val="008B1F57"/>
    <w:rsid w:val="008B25C5"/>
    <w:rsid w:val="008B2FFB"/>
    <w:rsid w:val="008B3FC4"/>
    <w:rsid w:val="008B58C7"/>
    <w:rsid w:val="008B61C4"/>
    <w:rsid w:val="008B7775"/>
    <w:rsid w:val="008B7909"/>
    <w:rsid w:val="008C144A"/>
    <w:rsid w:val="008C3E19"/>
    <w:rsid w:val="008C403D"/>
    <w:rsid w:val="008C588D"/>
    <w:rsid w:val="008C5BBA"/>
    <w:rsid w:val="008C5D1D"/>
    <w:rsid w:val="008C65A9"/>
    <w:rsid w:val="008C715C"/>
    <w:rsid w:val="008C79EB"/>
    <w:rsid w:val="008D150A"/>
    <w:rsid w:val="008D44FF"/>
    <w:rsid w:val="008E3007"/>
    <w:rsid w:val="008E36F6"/>
    <w:rsid w:val="008E3F40"/>
    <w:rsid w:val="008F10D8"/>
    <w:rsid w:val="008F5B1E"/>
    <w:rsid w:val="008F7AE5"/>
    <w:rsid w:val="0090273F"/>
    <w:rsid w:val="00903DF9"/>
    <w:rsid w:val="00904680"/>
    <w:rsid w:val="009069CF"/>
    <w:rsid w:val="00920DCD"/>
    <w:rsid w:val="00926918"/>
    <w:rsid w:val="0092717D"/>
    <w:rsid w:val="00930003"/>
    <w:rsid w:val="009305DA"/>
    <w:rsid w:val="00932BED"/>
    <w:rsid w:val="009336E6"/>
    <w:rsid w:val="00933B71"/>
    <w:rsid w:val="00936BBB"/>
    <w:rsid w:val="00940DB4"/>
    <w:rsid w:val="00942032"/>
    <w:rsid w:val="009457D0"/>
    <w:rsid w:val="00945FAC"/>
    <w:rsid w:val="00946232"/>
    <w:rsid w:val="009474C8"/>
    <w:rsid w:val="00950B7D"/>
    <w:rsid w:val="00953B9E"/>
    <w:rsid w:val="00956141"/>
    <w:rsid w:val="00956994"/>
    <w:rsid w:val="00957019"/>
    <w:rsid w:val="0095742B"/>
    <w:rsid w:val="00957F8F"/>
    <w:rsid w:val="00961359"/>
    <w:rsid w:val="00961EB4"/>
    <w:rsid w:val="00966259"/>
    <w:rsid w:val="009663B7"/>
    <w:rsid w:val="009668C9"/>
    <w:rsid w:val="00972256"/>
    <w:rsid w:val="00973545"/>
    <w:rsid w:val="00976B71"/>
    <w:rsid w:val="009771E3"/>
    <w:rsid w:val="009773EA"/>
    <w:rsid w:val="00980361"/>
    <w:rsid w:val="009806D3"/>
    <w:rsid w:val="009807B4"/>
    <w:rsid w:val="00981146"/>
    <w:rsid w:val="00983D71"/>
    <w:rsid w:val="00984D6B"/>
    <w:rsid w:val="00985962"/>
    <w:rsid w:val="00986458"/>
    <w:rsid w:val="00995E7B"/>
    <w:rsid w:val="00996049"/>
    <w:rsid w:val="009A0DE7"/>
    <w:rsid w:val="009A42B6"/>
    <w:rsid w:val="009B01D5"/>
    <w:rsid w:val="009B0D84"/>
    <w:rsid w:val="009B189A"/>
    <w:rsid w:val="009B3B76"/>
    <w:rsid w:val="009C0DDE"/>
    <w:rsid w:val="009C15AE"/>
    <w:rsid w:val="009C60F5"/>
    <w:rsid w:val="009C734E"/>
    <w:rsid w:val="009D14AC"/>
    <w:rsid w:val="009D4268"/>
    <w:rsid w:val="009D45DF"/>
    <w:rsid w:val="009D4DE4"/>
    <w:rsid w:val="009E093D"/>
    <w:rsid w:val="009E0CF2"/>
    <w:rsid w:val="009E2365"/>
    <w:rsid w:val="009E2EF3"/>
    <w:rsid w:val="009E4D74"/>
    <w:rsid w:val="009E79E9"/>
    <w:rsid w:val="009F0D46"/>
    <w:rsid w:val="009F2426"/>
    <w:rsid w:val="009F5695"/>
    <w:rsid w:val="009F5A34"/>
    <w:rsid w:val="009F6478"/>
    <w:rsid w:val="009F7C45"/>
    <w:rsid w:val="00A007A8"/>
    <w:rsid w:val="00A00DC5"/>
    <w:rsid w:val="00A00E2B"/>
    <w:rsid w:val="00A01D20"/>
    <w:rsid w:val="00A0207D"/>
    <w:rsid w:val="00A04443"/>
    <w:rsid w:val="00A0776E"/>
    <w:rsid w:val="00A10E84"/>
    <w:rsid w:val="00A1415D"/>
    <w:rsid w:val="00A14493"/>
    <w:rsid w:val="00A14746"/>
    <w:rsid w:val="00A155D9"/>
    <w:rsid w:val="00A15B35"/>
    <w:rsid w:val="00A22FA3"/>
    <w:rsid w:val="00A2332C"/>
    <w:rsid w:val="00A2778D"/>
    <w:rsid w:val="00A27AAE"/>
    <w:rsid w:val="00A30798"/>
    <w:rsid w:val="00A31F72"/>
    <w:rsid w:val="00A34B59"/>
    <w:rsid w:val="00A363B8"/>
    <w:rsid w:val="00A51D76"/>
    <w:rsid w:val="00A51F9C"/>
    <w:rsid w:val="00A52D83"/>
    <w:rsid w:val="00A5472C"/>
    <w:rsid w:val="00A54CC5"/>
    <w:rsid w:val="00A561F2"/>
    <w:rsid w:val="00A57B68"/>
    <w:rsid w:val="00A57E6E"/>
    <w:rsid w:val="00A6230C"/>
    <w:rsid w:val="00A6454E"/>
    <w:rsid w:val="00A66958"/>
    <w:rsid w:val="00A70EC8"/>
    <w:rsid w:val="00A720A7"/>
    <w:rsid w:val="00A729D7"/>
    <w:rsid w:val="00A7365A"/>
    <w:rsid w:val="00A73B4F"/>
    <w:rsid w:val="00A73DB9"/>
    <w:rsid w:val="00A7554F"/>
    <w:rsid w:val="00A756B9"/>
    <w:rsid w:val="00A75AB8"/>
    <w:rsid w:val="00A76F8B"/>
    <w:rsid w:val="00A77D9E"/>
    <w:rsid w:val="00A80851"/>
    <w:rsid w:val="00A80C2E"/>
    <w:rsid w:val="00A82EBF"/>
    <w:rsid w:val="00A84C43"/>
    <w:rsid w:val="00A85B70"/>
    <w:rsid w:val="00A864A9"/>
    <w:rsid w:val="00A87D94"/>
    <w:rsid w:val="00A90F9D"/>
    <w:rsid w:val="00A945BD"/>
    <w:rsid w:val="00A949E6"/>
    <w:rsid w:val="00A95C11"/>
    <w:rsid w:val="00A96664"/>
    <w:rsid w:val="00A96810"/>
    <w:rsid w:val="00AA2AC4"/>
    <w:rsid w:val="00AA4E20"/>
    <w:rsid w:val="00AA6DA4"/>
    <w:rsid w:val="00AA74A6"/>
    <w:rsid w:val="00AB2CA3"/>
    <w:rsid w:val="00AB5425"/>
    <w:rsid w:val="00AB6487"/>
    <w:rsid w:val="00AB70B9"/>
    <w:rsid w:val="00AC2938"/>
    <w:rsid w:val="00AC2F23"/>
    <w:rsid w:val="00AC498F"/>
    <w:rsid w:val="00AC4CB9"/>
    <w:rsid w:val="00AC51DF"/>
    <w:rsid w:val="00AC52F2"/>
    <w:rsid w:val="00AC5FD4"/>
    <w:rsid w:val="00AD0648"/>
    <w:rsid w:val="00AD1270"/>
    <w:rsid w:val="00AD5ED2"/>
    <w:rsid w:val="00AD615E"/>
    <w:rsid w:val="00AD6A75"/>
    <w:rsid w:val="00AD7066"/>
    <w:rsid w:val="00AE1362"/>
    <w:rsid w:val="00AE1A36"/>
    <w:rsid w:val="00AE3FC3"/>
    <w:rsid w:val="00AE5189"/>
    <w:rsid w:val="00AE7EA3"/>
    <w:rsid w:val="00AF069E"/>
    <w:rsid w:val="00AF26F7"/>
    <w:rsid w:val="00AF2881"/>
    <w:rsid w:val="00AF28AA"/>
    <w:rsid w:val="00AF4C82"/>
    <w:rsid w:val="00AF6AD7"/>
    <w:rsid w:val="00AF70EB"/>
    <w:rsid w:val="00B009A5"/>
    <w:rsid w:val="00B01848"/>
    <w:rsid w:val="00B0558A"/>
    <w:rsid w:val="00B06085"/>
    <w:rsid w:val="00B07638"/>
    <w:rsid w:val="00B10F38"/>
    <w:rsid w:val="00B122FA"/>
    <w:rsid w:val="00B1280E"/>
    <w:rsid w:val="00B1304D"/>
    <w:rsid w:val="00B13083"/>
    <w:rsid w:val="00B13749"/>
    <w:rsid w:val="00B166D4"/>
    <w:rsid w:val="00B22D0A"/>
    <w:rsid w:val="00B233D6"/>
    <w:rsid w:val="00B24872"/>
    <w:rsid w:val="00B248E6"/>
    <w:rsid w:val="00B27952"/>
    <w:rsid w:val="00B31FA1"/>
    <w:rsid w:val="00B325B0"/>
    <w:rsid w:val="00B33005"/>
    <w:rsid w:val="00B342FF"/>
    <w:rsid w:val="00B34E99"/>
    <w:rsid w:val="00B35D01"/>
    <w:rsid w:val="00B36485"/>
    <w:rsid w:val="00B379ED"/>
    <w:rsid w:val="00B37DEC"/>
    <w:rsid w:val="00B403C8"/>
    <w:rsid w:val="00B40C1A"/>
    <w:rsid w:val="00B4274D"/>
    <w:rsid w:val="00B4446B"/>
    <w:rsid w:val="00B45ACC"/>
    <w:rsid w:val="00B4643C"/>
    <w:rsid w:val="00B51125"/>
    <w:rsid w:val="00B54B8B"/>
    <w:rsid w:val="00B54E70"/>
    <w:rsid w:val="00B57A38"/>
    <w:rsid w:val="00B62436"/>
    <w:rsid w:val="00B631BE"/>
    <w:rsid w:val="00B64C0B"/>
    <w:rsid w:val="00B70553"/>
    <w:rsid w:val="00B71AF2"/>
    <w:rsid w:val="00B72103"/>
    <w:rsid w:val="00B75111"/>
    <w:rsid w:val="00B80522"/>
    <w:rsid w:val="00B811B8"/>
    <w:rsid w:val="00B82E85"/>
    <w:rsid w:val="00B82EB3"/>
    <w:rsid w:val="00B836B5"/>
    <w:rsid w:val="00B954C1"/>
    <w:rsid w:val="00B96F6D"/>
    <w:rsid w:val="00BA0894"/>
    <w:rsid w:val="00BA14DD"/>
    <w:rsid w:val="00BA37F6"/>
    <w:rsid w:val="00BA44E1"/>
    <w:rsid w:val="00BA4B87"/>
    <w:rsid w:val="00BA55E1"/>
    <w:rsid w:val="00BA55F4"/>
    <w:rsid w:val="00BA7DE1"/>
    <w:rsid w:val="00BB12C0"/>
    <w:rsid w:val="00BB2AF1"/>
    <w:rsid w:val="00BB4BCC"/>
    <w:rsid w:val="00BB710E"/>
    <w:rsid w:val="00BC17B0"/>
    <w:rsid w:val="00BC195A"/>
    <w:rsid w:val="00BC3FB6"/>
    <w:rsid w:val="00BD0403"/>
    <w:rsid w:val="00BD3C54"/>
    <w:rsid w:val="00BD5210"/>
    <w:rsid w:val="00BD6136"/>
    <w:rsid w:val="00BD63FD"/>
    <w:rsid w:val="00BE0174"/>
    <w:rsid w:val="00BE2490"/>
    <w:rsid w:val="00BE3402"/>
    <w:rsid w:val="00BE4C03"/>
    <w:rsid w:val="00BE7BC4"/>
    <w:rsid w:val="00BF0E11"/>
    <w:rsid w:val="00BF1842"/>
    <w:rsid w:val="00BF28F2"/>
    <w:rsid w:val="00BF32C1"/>
    <w:rsid w:val="00BF4762"/>
    <w:rsid w:val="00BF543A"/>
    <w:rsid w:val="00BF755A"/>
    <w:rsid w:val="00C018FF"/>
    <w:rsid w:val="00C0594F"/>
    <w:rsid w:val="00C0607D"/>
    <w:rsid w:val="00C16DFC"/>
    <w:rsid w:val="00C244A4"/>
    <w:rsid w:val="00C36F90"/>
    <w:rsid w:val="00C415E9"/>
    <w:rsid w:val="00C45B2C"/>
    <w:rsid w:val="00C45C25"/>
    <w:rsid w:val="00C45FB4"/>
    <w:rsid w:val="00C52052"/>
    <w:rsid w:val="00C520A6"/>
    <w:rsid w:val="00C5300F"/>
    <w:rsid w:val="00C532FC"/>
    <w:rsid w:val="00C53518"/>
    <w:rsid w:val="00C56D94"/>
    <w:rsid w:val="00C63F7D"/>
    <w:rsid w:val="00C665FF"/>
    <w:rsid w:val="00C705B7"/>
    <w:rsid w:val="00C7252C"/>
    <w:rsid w:val="00C73578"/>
    <w:rsid w:val="00C76CAC"/>
    <w:rsid w:val="00C80090"/>
    <w:rsid w:val="00C801AE"/>
    <w:rsid w:val="00C81AF4"/>
    <w:rsid w:val="00C82496"/>
    <w:rsid w:val="00C824C8"/>
    <w:rsid w:val="00C8288D"/>
    <w:rsid w:val="00C839C4"/>
    <w:rsid w:val="00C859B6"/>
    <w:rsid w:val="00C85A1F"/>
    <w:rsid w:val="00C86CC5"/>
    <w:rsid w:val="00C90DD4"/>
    <w:rsid w:val="00C91226"/>
    <w:rsid w:val="00C91D6A"/>
    <w:rsid w:val="00C92D0D"/>
    <w:rsid w:val="00C9393D"/>
    <w:rsid w:val="00C93971"/>
    <w:rsid w:val="00C93A38"/>
    <w:rsid w:val="00C95F3F"/>
    <w:rsid w:val="00C961AC"/>
    <w:rsid w:val="00C97E11"/>
    <w:rsid w:val="00CA04A4"/>
    <w:rsid w:val="00CA66E3"/>
    <w:rsid w:val="00CB2F05"/>
    <w:rsid w:val="00CB2FDD"/>
    <w:rsid w:val="00CB3B4B"/>
    <w:rsid w:val="00CB44B9"/>
    <w:rsid w:val="00CB468F"/>
    <w:rsid w:val="00CB5AAC"/>
    <w:rsid w:val="00CB5E33"/>
    <w:rsid w:val="00CB7689"/>
    <w:rsid w:val="00CB771B"/>
    <w:rsid w:val="00CB7F46"/>
    <w:rsid w:val="00CC03E0"/>
    <w:rsid w:val="00CC159D"/>
    <w:rsid w:val="00CC25E2"/>
    <w:rsid w:val="00CC4963"/>
    <w:rsid w:val="00CC6222"/>
    <w:rsid w:val="00CC6E64"/>
    <w:rsid w:val="00CC7942"/>
    <w:rsid w:val="00CC7F51"/>
    <w:rsid w:val="00CD0775"/>
    <w:rsid w:val="00CD1FEA"/>
    <w:rsid w:val="00CD42CE"/>
    <w:rsid w:val="00CD52FA"/>
    <w:rsid w:val="00CD6BB8"/>
    <w:rsid w:val="00CD6EDC"/>
    <w:rsid w:val="00CE0781"/>
    <w:rsid w:val="00CE0A04"/>
    <w:rsid w:val="00CE0C37"/>
    <w:rsid w:val="00CE35F6"/>
    <w:rsid w:val="00CE595E"/>
    <w:rsid w:val="00CE6670"/>
    <w:rsid w:val="00CF6659"/>
    <w:rsid w:val="00D00353"/>
    <w:rsid w:val="00D01304"/>
    <w:rsid w:val="00D0151B"/>
    <w:rsid w:val="00D01888"/>
    <w:rsid w:val="00D019F1"/>
    <w:rsid w:val="00D04621"/>
    <w:rsid w:val="00D056CC"/>
    <w:rsid w:val="00D06FF2"/>
    <w:rsid w:val="00D070FD"/>
    <w:rsid w:val="00D10713"/>
    <w:rsid w:val="00D11047"/>
    <w:rsid w:val="00D11159"/>
    <w:rsid w:val="00D1485C"/>
    <w:rsid w:val="00D15118"/>
    <w:rsid w:val="00D15AC1"/>
    <w:rsid w:val="00D16C78"/>
    <w:rsid w:val="00D21001"/>
    <w:rsid w:val="00D21046"/>
    <w:rsid w:val="00D21B9A"/>
    <w:rsid w:val="00D2405B"/>
    <w:rsid w:val="00D26A9B"/>
    <w:rsid w:val="00D27EAC"/>
    <w:rsid w:val="00D3056B"/>
    <w:rsid w:val="00D305C6"/>
    <w:rsid w:val="00D308A5"/>
    <w:rsid w:val="00D3151F"/>
    <w:rsid w:val="00D34771"/>
    <w:rsid w:val="00D36493"/>
    <w:rsid w:val="00D40108"/>
    <w:rsid w:val="00D425EB"/>
    <w:rsid w:val="00D4511C"/>
    <w:rsid w:val="00D45435"/>
    <w:rsid w:val="00D47F3F"/>
    <w:rsid w:val="00D5041A"/>
    <w:rsid w:val="00D525A3"/>
    <w:rsid w:val="00D559D2"/>
    <w:rsid w:val="00D55C34"/>
    <w:rsid w:val="00D616E7"/>
    <w:rsid w:val="00D62C61"/>
    <w:rsid w:val="00D641F0"/>
    <w:rsid w:val="00D67F5F"/>
    <w:rsid w:val="00D7451A"/>
    <w:rsid w:val="00D75AF0"/>
    <w:rsid w:val="00D77238"/>
    <w:rsid w:val="00D82701"/>
    <w:rsid w:val="00D83C67"/>
    <w:rsid w:val="00D84041"/>
    <w:rsid w:val="00D8429E"/>
    <w:rsid w:val="00D85AC0"/>
    <w:rsid w:val="00D93FCF"/>
    <w:rsid w:val="00DA0947"/>
    <w:rsid w:val="00DA3E89"/>
    <w:rsid w:val="00DA3FA3"/>
    <w:rsid w:val="00DA5DB8"/>
    <w:rsid w:val="00DA65A6"/>
    <w:rsid w:val="00DB0EF2"/>
    <w:rsid w:val="00DB33D7"/>
    <w:rsid w:val="00DC02A7"/>
    <w:rsid w:val="00DC461A"/>
    <w:rsid w:val="00DC53C1"/>
    <w:rsid w:val="00DC6585"/>
    <w:rsid w:val="00DC70DB"/>
    <w:rsid w:val="00DC77DF"/>
    <w:rsid w:val="00DD0193"/>
    <w:rsid w:val="00DD02EB"/>
    <w:rsid w:val="00DD04E5"/>
    <w:rsid w:val="00DD0B8E"/>
    <w:rsid w:val="00DD141F"/>
    <w:rsid w:val="00DD22C2"/>
    <w:rsid w:val="00DD6FD5"/>
    <w:rsid w:val="00DE08F3"/>
    <w:rsid w:val="00DE2488"/>
    <w:rsid w:val="00DE7BB8"/>
    <w:rsid w:val="00DE7CCE"/>
    <w:rsid w:val="00DF2CA8"/>
    <w:rsid w:val="00DF43A1"/>
    <w:rsid w:val="00DF555B"/>
    <w:rsid w:val="00DF56A1"/>
    <w:rsid w:val="00E017E3"/>
    <w:rsid w:val="00E01861"/>
    <w:rsid w:val="00E023DF"/>
    <w:rsid w:val="00E03BF5"/>
    <w:rsid w:val="00E03C26"/>
    <w:rsid w:val="00E0400D"/>
    <w:rsid w:val="00E05687"/>
    <w:rsid w:val="00E1107D"/>
    <w:rsid w:val="00E15306"/>
    <w:rsid w:val="00E167E4"/>
    <w:rsid w:val="00E21D1B"/>
    <w:rsid w:val="00E22212"/>
    <w:rsid w:val="00E27F2A"/>
    <w:rsid w:val="00E30114"/>
    <w:rsid w:val="00E30E38"/>
    <w:rsid w:val="00E31B3F"/>
    <w:rsid w:val="00E34E73"/>
    <w:rsid w:val="00E36E61"/>
    <w:rsid w:val="00E37459"/>
    <w:rsid w:val="00E40658"/>
    <w:rsid w:val="00E45C9C"/>
    <w:rsid w:val="00E4623F"/>
    <w:rsid w:val="00E46953"/>
    <w:rsid w:val="00E478A8"/>
    <w:rsid w:val="00E51093"/>
    <w:rsid w:val="00E52C0A"/>
    <w:rsid w:val="00E538C6"/>
    <w:rsid w:val="00E54FC2"/>
    <w:rsid w:val="00E5603C"/>
    <w:rsid w:val="00E60A25"/>
    <w:rsid w:val="00E64320"/>
    <w:rsid w:val="00E768E5"/>
    <w:rsid w:val="00E7726E"/>
    <w:rsid w:val="00E807CD"/>
    <w:rsid w:val="00E826AD"/>
    <w:rsid w:val="00E841EB"/>
    <w:rsid w:val="00E856B3"/>
    <w:rsid w:val="00E85980"/>
    <w:rsid w:val="00E9260E"/>
    <w:rsid w:val="00E92FD9"/>
    <w:rsid w:val="00E94329"/>
    <w:rsid w:val="00E95397"/>
    <w:rsid w:val="00E96B2D"/>
    <w:rsid w:val="00EA0CAD"/>
    <w:rsid w:val="00EA1373"/>
    <w:rsid w:val="00EA1695"/>
    <w:rsid w:val="00EA502E"/>
    <w:rsid w:val="00EB0474"/>
    <w:rsid w:val="00EB1F85"/>
    <w:rsid w:val="00EB52AC"/>
    <w:rsid w:val="00EB62FD"/>
    <w:rsid w:val="00EB6811"/>
    <w:rsid w:val="00EB7193"/>
    <w:rsid w:val="00EC0476"/>
    <w:rsid w:val="00EC04EF"/>
    <w:rsid w:val="00EC0594"/>
    <w:rsid w:val="00EC0A58"/>
    <w:rsid w:val="00EC0C1E"/>
    <w:rsid w:val="00EC275F"/>
    <w:rsid w:val="00EC2B1D"/>
    <w:rsid w:val="00EC4B21"/>
    <w:rsid w:val="00ED1291"/>
    <w:rsid w:val="00ED156B"/>
    <w:rsid w:val="00ED2F00"/>
    <w:rsid w:val="00ED3E2C"/>
    <w:rsid w:val="00ED582A"/>
    <w:rsid w:val="00ED7C25"/>
    <w:rsid w:val="00ED7E2A"/>
    <w:rsid w:val="00EE3286"/>
    <w:rsid w:val="00EE4572"/>
    <w:rsid w:val="00EE7F26"/>
    <w:rsid w:val="00EF0496"/>
    <w:rsid w:val="00EF1B53"/>
    <w:rsid w:val="00EF3C57"/>
    <w:rsid w:val="00EF5702"/>
    <w:rsid w:val="00EF7E1D"/>
    <w:rsid w:val="00F0082E"/>
    <w:rsid w:val="00F00D40"/>
    <w:rsid w:val="00F04987"/>
    <w:rsid w:val="00F07E25"/>
    <w:rsid w:val="00F122D8"/>
    <w:rsid w:val="00F1269E"/>
    <w:rsid w:val="00F13BC5"/>
    <w:rsid w:val="00F13C74"/>
    <w:rsid w:val="00F13DE1"/>
    <w:rsid w:val="00F14E54"/>
    <w:rsid w:val="00F1505D"/>
    <w:rsid w:val="00F17121"/>
    <w:rsid w:val="00F227BE"/>
    <w:rsid w:val="00F238CB"/>
    <w:rsid w:val="00F24554"/>
    <w:rsid w:val="00F25438"/>
    <w:rsid w:val="00F25768"/>
    <w:rsid w:val="00F262AD"/>
    <w:rsid w:val="00F2762B"/>
    <w:rsid w:val="00F34BB4"/>
    <w:rsid w:val="00F35CC7"/>
    <w:rsid w:val="00F40931"/>
    <w:rsid w:val="00F4094F"/>
    <w:rsid w:val="00F40BC8"/>
    <w:rsid w:val="00F41C6A"/>
    <w:rsid w:val="00F44816"/>
    <w:rsid w:val="00F44886"/>
    <w:rsid w:val="00F46ED7"/>
    <w:rsid w:val="00F47B05"/>
    <w:rsid w:val="00F52309"/>
    <w:rsid w:val="00F52895"/>
    <w:rsid w:val="00F55231"/>
    <w:rsid w:val="00F5732F"/>
    <w:rsid w:val="00F57A99"/>
    <w:rsid w:val="00F6488E"/>
    <w:rsid w:val="00F65608"/>
    <w:rsid w:val="00F657E3"/>
    <w:rsid w:val="00F67D13"/>
    <w:rsid w:val="00F708D9"/>
    <w:rsid w:val="00F726E4"/>
    <w:rsid w:val="00F7350F"/>
    <w:rsid w:val="00F76E41"/>
    <w:rsid w:val="00F77597"/>
    <w:rsid w:val="00F803A2"/>
    <w:rsid w:val="00F810AF"/>
    <w:rsid w:val="00F822D1"/>
    <w:rsid w:val="00F8320F"/>
    <w:rsid w:val="00F83C87"/>
    <w:rsid w:val="00F878E2"/>
    <w:rsid w:val="00F91B23"/>
    <w:rsid w:val="00F94465"/>
    <w:rsid w:val="00F950F5"/>
    <w:rsid w:val="00F978C4"/>
    <w:rsid w:val="00F97A0C"/>
    <w:rsid w:val="00F97B00"/>
    <w:rsid w:val="00FA0D93"/>
    <w:rsid w:val="00FA0DA3"/>
    <w:rsid w:val="00FA1C48"/>
    <w:rsid w:val="00FA568D"/>
    <w:rsid w:val="00FA5E4B"/>
    <w:rsid w:val="00FA60E7"/>
    <w:rsid w:val="00FB067A"/>
    <w:rsid w:val="00FB1F62"/>
    <w:rsid w:val="00FB6233"/>
    <w:rsid w:val="00FB633A"/>
    <w:rsid w:val="00FB69F3"/>
    <w:rsid w:val="00FB6CFC"/>
    <w:rsid w:val="00FC2A85"/>
    <w:rsid w:val="00FC46DE"/>
    <w:rsid w:val="00FD18C5"/>
    <w:rsid w:val="00FD2892"/>
    <w:rsid w:val="00FD3922"/>
    <w:rsid w:val="00FD5AE4"/>
    <w:rsid w:val="00FD7414"/>
    <w:rsid w:val="00FD7FDC"/>
    <w:rsid w:val="00FE0299"/>
    <w:rsid w:val="00FE13D7"/>
    <w:rsid w:val="00FE2C38"/>
    <w:rsid w:val="00FE2D21"/>
    <w:rsid w:val="00FE5816"/>
    <w:rsid w:val="00FE5954"/>
    <w:rsid w:val="00FE5B62"/>
    <w:rsid w:val="00FE5CBB"/>
    <w:rsid w:val="00FE6458"/>
    <w:rsid w:val="00FF0EA8"/>
    <w:rsid w:val="00FF38C4"/>
    <w:rsid w:val="00FF7057"/>
    <w:rsid w:val="00FF7C61"/>
    <w:rsid w:val="0243F59E"/>
    <w:rsid w:val="02AEEF4E"/>
    <w:rsid w:val="02F814DB"/>
    <w:rsid w:val="0302D558"/>
    <w:rsid w:val="030D18EF"/>
    <w:rsid w:val="033075C7"/>
    <w:rsid w:val="040EFA48"/>
    <w:rsid w:val="045EFA76"/>
    <w:rsid w:val="049B376B"/>
    <w:rsid w:val="04F53552"/>
    <w:rsid w:val="05205571"/>
    <w:rsid w:val="053B1B94"/>
    <w:rsid w:val="05645CA4"/>
    <w:rsid w:val="057B9660"/>
    <w:rsid w:val="05A69622"/>
    <w:rsid w:val="05FA9CA9"/>
    <w:rsid w:val="0644C48C"/>
    <w:rsid w:val="0669FCC1"/>
    <w:rsid w:val="06E8B350"/>
    <w:rsid w:val="07983372"/>
    <w:rsid w:val="07CB3667"/>
    <w:rsid w:val="07CD8E36"/>
    <w:rsid w:val="082CD614"/>
    <w:rsid w:val="0832296B"/>
    <w:rsid w:val="08B7C0BD"/>
    <w:rsid w:val="093EE152"/>
    <w:rsid w:val="0949E925"/>
    <w:rsid w:val="097D4B03"/>
    <w:rsid w:val="09CE2A23"/>
    <w:rsid w:val="09F63637"/>
    <w:rsid w:val="0AC89BE9"/>
    <w:rsid w:val="0ADB2D31"/>
    <w:rsid w:val="0AF394B5"/>
    <w:rsid w:val="0B1F5E88"/>
    <w:rsid w:val="0C1F576C"/>
    <w:rsid w:val="0CCE5C62"/>
    <w:rsid w:val="0CFC1491"/>
    <w:rsid w:val="0D57F4D4"/>
    <w:rsid w:val="0DAEA374"/>
    <w:rsid w:val="0E4B8D2D"/>
    <w:rsid w:val="0E82EF3B"/>
    <w:rsid w:val="0EDF1649"/>
    <w:rsid w:val="0F9DEB45"/>
    <w:rsid w:val="0FA1AD1D"/>
    <w:rsid w:val="10334534"/>
    <w:rsid w:val="109D06A9"/>
    <w:rsid w:val="10C82919"/>
    <w:rsid w:val="11579E4B"/>
    <w:rsid w:val="11A14DCA"/>
    <w:rsid w:val="11E9FBD8"/>
    <w:rsid w:val="122E45F5"/>
    <w:rsid w:val="129A1704"/>
    <w:rsid w:val="12CFD37A"/>
    <w:rsid w:val="136AE5F6"/>
    <w:rsid w:val="1378C389"/>
    <w:rsid w:val="139C31FE"/>
    <w:rsid w:val="13BB640A"/>
    <w:rsid w:val="14018BD2"/>
    <w:rsid w:val="143FC772"/>
    <w:rsid w:val="145BF5E3"/>
    <w:rsid w:val="14751E40"/>
    <w:rsid w:val="15719F99"/>
    <w:rsid w:val="15C28228"/>
    <w:rsid w:val="1610EEA1"/>
    <w:rsid w:val="16B79D4B"/>
    <w:rsid w:val="17ACBF02"/>
    <w:rsid w:val="17CEFFDA"/>
    <w:rsid w:val="1900B610"/>
    <w:rsid w:val="19581382"/>
    <w:rsid w:val="1A3E6562"/>
    <w:rsid w:val="1A4D3732"/>
    <w:rsid w:val="1A7928AB"/>
    <w:rsid w:val="1A95F34B"/>
    <w:rsid w:val="1B8A1F88"/>
    <w:rsid w:val="1C87EF7D"/>
    <w:rsid w:val="1D1BF47E"/>
    <w:rsid w:val="1D1DBE69"/>
    <w:rsid w:val="1DE6D7D2"/>
    <w:rsid w:val="1E1F66E7"/>
    <w:rsid w:val="1F305C6C"/>
    <w:rsid w:val="1F6B4198"/>
    <w:rsid w:val="1F915055"/>
    <w:rsid w:val="201E8E09"/>
    <w:rsid w:val="205D90AB"/>
    <w:rsid w:val="20697A94"/>
    <w:rsid w:val="20910341"/>
    <w:rsid w:val="20BD97BC"/>
    <w:rsid w:val="20FBA920"/>
    <w:rsid w:val="2157B7B3"/>
    <w:rsid w:val="216E8C9B"/>
    <w:rsid w:val="21D2DED6"/>
    <w:rsid w:val="21D8A14D"/>
    <w:rsid w:val="21E052A3"/>
    <w:rsid w:val="2212D7E5"/>
    <w:rsid w:val="228917E6"/>
    <w:rsid w:val="231D10BD"/>
    <w:rsid w:val="232DF504"/>
    <w:rsid w:val="23F2B8BB"/>
    <w:rsid w:val="24002356"/>
    <w:rsid w:val="247219AD"/>
    <w:rsid w:val="24F77F97"/>
    <w:rsid w:val="252D929F"/>
    <w:rsid w:val="25687C8C"/>
    <w:rsid w:val="26465503"/>
    <w:rsid w:val="26E884A4"/>
    <w:rsid w:val="27982196"/>
    <w:rsid w:val="28161EF7"/>
    <w:rsid w:val="28439A69"/>
    <w:rsid w:val="28C629DE"/>
    <w:rsid w:val="28DA491F"/>
    <w:rsid w:val="2918601B"/>
    <w:rsid w:val="295AF1D0"/>
    <w:rsid w:val="29E6996D"/>
    <w:rsid w:val="2A394DC3"/>
    <w:rsid w:val="2A3F16DB"/>
    <w:rsid w:val="2A61FA3F"/>
    <w:rsid w:val="2B00BB96"/>
    <w:rsid w:val="2B0E5C21"/>
    <w:rsid w:val="2B131F0B"/>
    <w:rsid w:val="2B4EBBD8"/>
    <w:rsid w:val="2B86B1AB"/>
    <w:rsid w:val="2BD73130"/>
    <w:rsid w:val="2BFC1C7E"/>
    <w:rsid w:val="2C3B3922"/>
    <w:rsid w:val="2CAB48CE"/>
    <w:rsid w:val="2CC071A4"/>
    <w:rsid w:val="2D5FE96A"/>
    <w:rsid w:val="2DA186BD"/>
    <w:rsid w:val="2E5EB163"/>
    <w:rsid w:val="2EECB432"/>
    <w:rsid w:val="2F4AE315"/>
    <w:rsid w:val="30044E6F"/>
    <w:rsid w:val="300946ED"/>
    <w:rsid w:val="30622716"/>
    <w:rsid w:val="306BDA09"/>
    <w:rsid w:val="3096566C"/>
    <w:rsid w:val="310076EA"/>
    <w:rsid w:val="3139172C"/>
    <w:rsid w:val="3142A8C0"/>
    <w:rsid w:val="31CD18B7"/>
    <w:rsid w:val="31F5F32F"/>
    <w:rsid w:val="324DE568"/>
    <w:rsid w:val="32C0F3AA"/>
    <w:rsid w:val="3311DF32"/>
    <w:rsid w:val="33302F9C"/>
    <w:rsid w:val="33C2E25D"/>
    <w:rsid w:val="3408001C"/>
    <w:rsid w:val="34501157"/>
    <w:rsid w:val="347E586B"/>
    <w:rsid w:val="34A04139"/>
    <w:rsid w:val="34BC9F13"/>
    <w:rsid w:val="34C43EAD"/>
    <w:rsid w:val="354114EB"/>
    <w:rsid w:val="35C63BC6"/>
    <w:rsid w:val="36426039"/>
    <w:rsid w:val="36A089DA"/>
    <w:rsid w:val="36F4163A"/>
    <w:rsid w:val="373C0A6A"/>
    <w:rsid w:val="37840E58"/>
    <w:rsid w:val="378EF03B"/>
    <w:rsid w:val="37BD908F"/>
    <w:rsid w:val="381ADEEA"/>
    <w:rsid w:val="38990DD9"/>
    <w:rsid w:val="394A73C3"/>
    <w:rsid w:val="39D52ECA"/>
    <w:rsid w:val="3A3A8902"/>
    <w:rsid w:val="3A7B9C51"/>
    <w:rsid w:val="3AD92AF7"/>
    <w:rsid w:val="3B13DA11"/>
    <w:rsid w:val="3B5121A6"/>
    <w:rsid w:val="3B6EC494"/>
    <w:rsid w:val="3B73FAFD"/>
    <w:rsid w:val="3B8BA452"/>
    <w:rsid w:val="3BC6475C"/>
    <w:rsid w:val="3C2400CC"/>
    <w:rsid w:val="3D7496A1"/>
    <w:rsid w:val="3D794DAF"/>
    <w:rsid w:val="3DBFD12D"/>
    <w:rsid w:val="3EA371CB"/>
    <w:rsid w:val="3EDDF064"/>
    <w:rsid w:val="3EFFA43D"/>
    <w:rsid w:val="3F09BA53"/>
    <w:rsid w:val="3F56D507"/>
    <w:rsid w:val="4033C52C"/>
    <w:rsid w:val="406D7C95"/>
    <w:rsid w:val="40AD783A"/>
    <w:rsid w:val="410124BC"/>
    <w:rsid w:val="4104F3BE"/>
    <w:rsid w:val="41BB99D0"/>
    <w:rsid w:val="41DB128D"/>
    <w:rsid w:val="4245CC01"/>
    <w:rsid w:val="42FDB380"/>
    <w:rsid w:val="4319D7EC"/>
    <w:rsid w:val="43E518FC"/>
    <w:rsid w:val="440A5931"/>
    <w:rsid w:val="449983E1"/>
    <w:rsid w:val="4512B34F"/>
    <w:rsid w:val="454882B6"/>
    <w:rsid w:val="46355442"/>
    <w:rsid w:val="467C13C5"/>
    <w:rsid w:val="468C6382"/>
    <w:rsid w:val="46DFFB74"/>
    <w:rsid w:val="470FB7E5"/>
    <w:rsid w:val="472DE30D"/>
    <w:rsid w:val="47394D9D"/>
    <w:rsid w:val="481AAA58"/>
    <w:rsid w:val="4907E3A6"/>
    <w:rsid w:val="4A8C2735"/>
    <w:rsid w:val="4B440729"/>
    <w:rsid w:val="4B813938"/>
    <w:rsid w:val="4C566D31"/>
    <w:rsid w:val="4C820B8F"/>
    <w:rsid w:val="4CE5860E"/>
    <w:rsid w:val="4D2C3D84"/>
    <w:rsid w:val="4D7D39E8"/>
    <w:rsid w:val="4ED63C9F"/>
    <w:rsid w:val="4EEEF01F"/>
    <w:rsid w:val="4F891742"/>
    <w:rsid w:val="4FA6A7FB"/>
    <w:rsid w:val="50423EA6"/>
    <w:rsid w:val="5046BAD5"/>
    <w:rsid w:val="50E4AF0B"/>
    <w:rsid w:val="50F6D6A3"/>
    <w:rsid w:val="521BAEFE"/>
    <w:rsid w:val="52347176"/>
    <w:rsid w:val="523E98CC"/>
    <w:rsid w:val="52A7BF50"/>
    <w:rsid w:val="53566C0F"/>
    <w:rsid w:val="535CD1CF"/>
    <w:rsid w:val="541B711C"/>
    <w:rsid w:val="54530CBB"/>
    <w:rsid w:val="54D76F96"/>
    <w:rsid w:val="552BCB76"/>
    <w:rsid w:val="57065EAB"/>
    <w:rsid w:val="57D83402"/>
    <w:rsid w:val="57F837D5"/>
    <w:rsid w:val="5850A8A5"/>
    <w:rsid w:val="58636C38"/>
    <w:rsid w:val="589B18CC"/>
    <w:rsid w:val="58C29B2E"/>
    <w:rsid w:val="5948366E"/>
    <w:rsid w:val="59545D66"/>
    <w:rsid w:val="595A9450"/>
    <w:rsid w:val="59C270DC"/>
    <w:rsid w:val="59F34234"/>
    <w:rsid w:val="5ABD70DF"/>
    <w:rsid w:val="5AD10788"/>
    <w:rsid w:val="5AFA460F"/>
    <w:rsid w:val="5C3D5590"/>
    <w:rsid w:val="5CD8136E"/>
    <w:rsid w:val="5D2C3394"/>
    <w:rsid w:val="5DB53CE6"/>
    <w:rsid w:val="5DBABA89"/>
    <w:rsid w:val="5E0CD52B"/>
    <w:rsid w:val="5E7CB9A2"/>
    <w:rsid w:val="5F073359"/>
    <w:rsid w:val="5F27C8FD"/>
    <w:rsid w:val="5F28FF82"/>
    <w:rsid w:val="5F4AFAE9"/>
    <w:rsid w:val="5F568AEA"/>
    <w:rsid w:val="60AA221A"/>
    <w:rsid w:val="60DF4650"/>
    <w:rsid w:val="624F0DF6"/>
    <w:rsid w:val="626AF470"/>
    <w:rsid w:val="62CF45B1"/>
    <w:rsid w:val="63C0CF34"/>
    <w:rsid w:val="63EDAA03"/>
    <w:rsid w:val="640F12E6"/>
    <w:rsid w:val="645F2921"/>
    <w:rsid w:val="6491BDD0"/>
    <w:rsid w:val="64E60A62"/>
    <w:rsid w:val="64F23A01"/>
    <w:rsid w:val="650C6EA2"/>
    <w:rsid w:val="65543621"/>
    <w:rsid w:val="65631563"/>
    <w:rsid w:val="659E3837"/>
    <w:rsid w:val="65FAF982"/>
    <w:rsid w:val="66058EEE"/>
    <w:rsid w:val="6629ACF3"/>
    <w:rsid w:val="66CECC0D"/>
    <w:rsid w:val="6719D8A8"/>
    <w:rsid w:val="679C3D7D"/>
    <w:rsid w:val="67C57D54"/>
    <w:rsid w:val="67F3C571"/>
    <w:rsid w:val="683C71B6"/>
    <w:rsid w:val="68D72C6B"/>
    <w:rsid w:val="69450438"/>
    <w:rsid w:val="69F32F4C"/>
    <w:rsid w:val="6AD3DE3F"/>
    <w:rsid w:val="6B09ADA6"/>
    <w:rsid w:val="6B792A86"/>
    <w:rsid w:val="6BA65AB7"/>
    <w:rsid w:val="6BF1A73E"/>
    <w:rsid w:val="6C0A255A"/>
    <w:rsid w:val="6C385183"/>
    <w:rsid w:val="6D272DEF"/>
    <w:rsid w:val="6D286068"/>
    <w:rsid w:val="6D806F0C"/>
    <w:rsid w:val="6DA0C1D7"/>
    <w:rsid w:val="6DA0E0E1"/>
    <w:rsid w:val="6DE7D454"/>
    <w:rsid w:val="6EDDFB79"/>
    <w:rsid w:val="6F428584"/>
    <w:rsid w:val="6FEC409F"/>
    <w:rsid w:val="706071A7"/>
    <w:rsid w:val="71094863"/>
    <w:rsid w:val="715F693D"/>
    <w:rsid w:val="7178DB9F"/>
    <w:rsid w:val="719CEA84"/>
    <w:rsid w:val="725BAC01"/>
    <w:rsid w:val="7263B93D"/>
    <w:rsid w:val="7382EB8F"/>
    <w:rsid w:val="74063FF2"/>
    <w:rsid w:val="7468F52F"/>
    <w:rsid w:val="74A4757C"/>
    <w:rsid w:val="74B7FDBA"/>
    <w:rsid w:val="7533E2CA"/>
    <w:rsid w:val="756DA79F"/>
    <w:rsid w:val="756E5C7D"/>
    <w:rsid w:val="75C0B395"/>
    <w:rsid w:val="7621C8B3"/>
    <w:rsid w:val="7626A860"/>
    <w:rsid w:val="7657705E"/>
    <w:rsid w:val="76DE3E1D"/>
    <w:rsid w:val="773DF30A"/>
    <w:rsid w:val="780A4EDD"/>
    <w:rsid w:val="7832015C"/>
    <w:rsid w:val="78381E34"/>
    <w:rsid w:val="784DC941"/>
    <w:rsid w:val="785328A8"/>
    <w:rsid w:val="78880323"/>
    <w:rsid w:val="78CBDD3D"/>
    <w:rsid w:val="78DC60CA"/>
    <w:rsid w:val="79561F2E"/>
    <w:rsid w:val="79EA2601"/>
    <w:rsid w:val="79EE2B90"/>
    <w:rsid w:val="7A6A21AF"/>
    <w:rsid w:val="7AB9D156"/>
    <w:rsid w:val="7BF1BDB4"/>
    <w:rsid w:val="7CC9DF62"/>
    <w:rsid w:val="7CFE8B23"/>
    <w:rsid w:val="7E67B0EA"/>
    <w:rsid w:val="7EC19CB3"/>
    <w:rsid w:val="7F295E76"/>
    <w:rsid w:val="7F352F5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52942"/>
  <w15:docId w15:val="{31C890ED-5EC8-457C-BF18-E3ABE45C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13C"/>
    <w:rPr>
      <w:rFonts w:ascii="Arial" w:hAnsi="Arial" w:cs="Arial"/>
      <w:sz w:val="24"/>
      <w:szCs w:val="24"/>
    </w:rPr>
  </w:style>
  <w:style w:type="paragraph" w:styleId="Heading1">
    <w:name w:val="heading 1"/>
    <w:basedOn w:val="Normal"/>
    <w:next w:val="Normal"/>
    <w:link w:val="Heading1Char"/>
    <w:qFormat/>
    <w:rsid w:val="00B954C1"/>
    <w:pPr>
      <w:jc w:val="both"/>
      <w:outlineLvl w:val="0"/>
    </w:pPr>
    <w:rPr>
      <w:b/>
    </w:rPr>
  </w:style>
  <w:style w:type="paragraph" w:styleId="Heading2">
    <w:name w:val="heading 2"/>
    <w:basedOn w:val="Normal"/>
    <w:next w:val="Normal"/>
    <w:link w:val="Heading2Char"/>
    <w:qFormat/>
    <w:rsid w:val="0059513C"/>
    <w:pPr>
      <w:keepNext/>
      <w:keepLines/>
      <w:spacing w:before="40"/>
      <w:outlineLvl w:val="1"/>
    </w:pPr>
    <w:rPr>
      <w:rFonts w:eastAsia="Arial" w:cstheme="majorBidi"/>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7E2A"/>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sid w:val="0042105D"/>
    <w:rPr>
      <w:b/>
      <w:bCs/>
    </w:rPr>
  </w:style>
  <w:style w:type="table" w:styleId="TableWeb2">
    <w:name w:val="Table Web 2"/>
    <w:basedOn w:val="TableNormal"/>
    <w:rsid w:val="002277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F950F5"/>
    <w:pPr>
      <w:spacing w:before="100" w:beforeAutospacing="1" w:after="100" w:afterAutospacing="1"/>
    </w:pPr>
    <w:rPr>
      <w:rFonts w:ascii="Times New Roman" w:hAnsi="Times New Roman" w:cs="Times New Roman"/>
    </w:rPr>
  </w:style>
  <w:style w:type="table" w:styleId="TableGrid">
    <w:name w:val="Table Grid"/>
    <w:basedOn w:val="TableNormal"/>
    <w:rsid w:val="0028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8429E"/>
    <w:rPr>
      <w:rFonts w:cs="Times New Roman"/>
      <w:sz w:val="16"/>
      <w:szCs w:val="16"/>
    </w:rPr>
  </w:style>
  <w:style w:type="paragraph" w:styleId="CommentText">
    <w:name w:val="annotation text"/>
    <w:basedOn w:val="Normal"/>
    <w:link w:val="CommentTextChar"/>
    <w:semiHidden/>
    <w:rsid w:val="00D8429E"/>
    <w:rPr>
      <w:rFonts w:ascii="Times New Roman" w:hAnsi="Times New Roman" w:cs="Times New Roman"/>
      <w:sz w:val="20"/>
      <w:szCs w:val="20"/>
    </w:rPr>
  </w:style>
  <w:style w:type="character" w:customStyle="1" w:styleId="CommentTextChar">
    <w:name w:val="Comment Text Char"/>
    <w:link w:val="CommentText"/>
    <w:semiHidden/>
    <w:locked/>
    <w:rsid w:val="00D8429E"/>
    <w:rPr>
      <w:lang w:val="en-US" w:eastAsia="en-US" w:bidi="ar-SA"/>
    </w:rPr>
  </w:style>
  <w:style w:type="character" w:styleId="PlaceholderText">
    <w:name w:val="Placeholder Text"/>
    <w:basedOn w:val="DefaultParagraphFont"/>
    <w:uiPriority w:val="99"/>
    <w:semiHidden/>
    <w:rsid w:val="0046087C"/>
    <w:rPr>
      <w:color w:val="808080"/>
    </w:rPr>
  </w:style>
  <w:style w:type="character" w:styleId="Hyperlink">
    <w:name w:val="Hyperlink"/>
    <w:basedOn w:val="DefaultParagraphFont"/>
    <w:unhideWhenUsed/>
    <w:rsid w:val="004F34FA"/>
    <w:rPr>
      <w:color w:val="0000FF" w:themeColor="hyperlink"/>
      <w:u w:val="single"/>
    </w:rPr>
  </w:style>
  <w:style w:type="character" w:customStyle="1" w:styleId="UnresolvedMention1">
    <w:name w:val="Unresolved Mention1"/>
    <w:basedOn w:val="DefaultParagraphFont"/>
    <w:uiPriority w:val="99"/>
    <w:semiHidden/>
    <w:unhideWhenUsed/>
    <w:rsid w:val="004F34FA"/>
    <w:rPr>
      <w:color w:val="808080"/>
      <w:shd w:val="clear" w:color="auto" w:fill="E6E6E6"/>
    </w:rPr>
  </w:style>
  <w:style w:type="character" w:styleId="FollowedHyperlink">
    <w:name w:val="FollowedHyperlink"/>
    <w:basedOn w:val="DefaultParagraphFont"/>
    <w:semiHidden/>
    <w:unhideWhenUsed/>
    <w:rsid w:val="003F7712"/>
    <w:rPr>
      <w:color w:val="800080" w:themeColor="followedHyperlink"/>
      <w:u w:val="single"/>
    </w:rPr>
  </w:style>
  <w:style w:type="paragraph" w:styleId="ListParagraph">
    <w:name w:val="List Paragraph"/>
    <w:basedOn w:val="Normal"/>
    <w:link w:val="ListParagraphChar"/>
    <w:uiPriority w:val="34"/>
    <w:qFormat/>
    <w:rsid w:val="00A57E6E"/>
    <w:pPr>
      <w:ind w:left="720"/>
      <w:contextualSpacing/>
    </w:pPr>
  </w:style>
  <w:style w:type="character" w:customStyle="1" w:styleId="ListParagraphChar">
    <w:name w:val="List Paragraph Char"/>
    <w:basedOn w:val="DefaultParagraphFont"/>
    <w:link w:val="ListParagraph"/>
    <w:uiPriority w:val="34"/>
    <w:rsid w:val="00A57E6E"/>
    <w:rPr>
      <w:rFonts w:ascii="Arial" w:hAnsi="Arial" w:cs="Arial"/>
      <w:sz w:val="24"/>
      <w:szCs w:val="24"/>
    </w:rPr>
  </w:style>
  <w:style w:type="character" w:customStyle="1" w:styleId="Heading1Char">
    <w:name w:val="Heading 1 Char"/>
    <w:basedOn w:val="DefaultParagraphFont"/>
    <w:link w:val="Heading1"/>
    <w:rsid w:val="00B954C1"/>
    <w:rPr>
      <w:rFonts w:ascii="Arial" w:hAnsi="Arial" w:cs="Arial"/>
      <w:b/>
      <w:sz w:val="24"/>
      <w:szCs w:val="24"/>
    </w:rPr>
  </w:style>
  <w:style w:type="paragraph" w:styleId="CommentSubject">
    <w:name w:val="annotation subject"/>
    <w:basedOn w:val="CommentText"/>
    <w:next w:val="CommentText"/>
    <w:link w:val="CommentSubjectChar"/>
    <w:semiHidden/>
    <w:unhideWhenUsed/>
    <w:rsid w:val="00A2332C"/>
    <w:rPr>
      <w:rFonts w:ascii="Arial" w:hAnsi="Arial" w:cs="Arial"/>
      <w:b/>
      <w:bCs/>
    </w:rPr>
  </w:style>
  <w:style w:type="character" w:customStyle="1" w:styleId="CommentSubjectChar">
    <w:name w:val="Comment Subject Char"/>
    <w:basedOn w:val="CommentTextChar"/>
    <w:link w:val="CommentSubject"/>
    <w:semiHidden/>
    <w:rsid w:val="00A2332C"/>
    <w:rPr>
      <w:rFonts w:ascii="Arial" w:hAnsi="Arial" w:cs="Arial"/>
      <w:b/>
      <w:bCs/>
      <w:lang w:val="en-US" w:eastAsia="en-US" w:bidi="ar-SA"/>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11159"/>
    <w:rPr>
      <w:rFonts w:ascii="Arial" w:hAnsi="Arial" w:cs="Arial"/>
      <w:sz w:val="24"/>
      <w:szCs w:val="24"/>
    </w:rPr>
  </w:style>
  <w:style w:type="character" w:customStyle="1" w:styleId="HeaderChar">
    <w:name w:val="Header Char"/>
    <w:basedOn w:val="DefaultParagraphFont"/>
    <w:link w:val="Header"/>
    <w:uiPriority w:val="99"/>
    <w:rsid w:val="000368CB"/>
    <w:rPr>
      <w:rFonts w:ascii="Arial" w:hAnsi="Arial" w:cs="Arial"/>
      <w:sz w:val="24"/>
      <w:szCs w:val="24"/>
    </w:rPr>
  </w:style>
  <w:style w:type="paragraph" w:customStyle="1" w:styleId="Style1">
    <w:name w:val="Style1"/>
    <w:basedOn w:val="Heading2"/>
    <w:rsid w:val="0059513C"/>
  </w:style>
  <w:style w:type="character" w:customStyle="1" w:styleId="Heading2Char">
    <w:name w:val="Heading 2 Char"/>
    <w:basedOn w:val="DefaultParagraphFont"/>
    <w:link w:val="Heading2"/>
    <w:rsid w:val="0059513C"/>
    <w:rPr>
      <w:rFonts w:ascii="Arial" w:eastAsia="Arial" w:hAnsi="Arial" w:cstheme="majorBidi"/>
      <w:color w:val="000000" w:themeColor="text1"/>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916666">
      <w:bodyDiv w:val="1"/>
      <w:marLeft w:val="0"/>
      <w:marRight w:val="0"/>
      <w:marTop w:val="0"/>
      <w:marBottom w:val="0"/>
      <w:divBdr>
        <w:top w:val="none" w:sz="0" w:space="0" w:color="auto"/>
        <w:left w:val="none" w:sz="0" w:space="0" w:color="auto"/>
        <w:bottom w:val="none" w:sz="0" w:space="0" w:color="auto"/>
        <w:right w:val="none" w:sz="0" w:space="0" w:color="auto"/>
      </w:divBdr>
    </w:div>
    <w:div w:id="462307626">
      <w:bodyDiv w:val="1"/>
      <w:marLeft w:val="0"/>
      <w:marRight w:val="0"/>
      <w:marTop w:val="0"/>
      <w:marBottom w:val="0"/>
      <w:divBdr>
        <w:top w:val="none" w:sz="0" w:space="0" w:color="auto"/>
        <w:left w:val="none" w:sz="0" w:space="0" w:color="auto"/>
        <w:bottom w:val="none" w:sz="0" w:space="0" w:color="auto"/>
        <w:right w:val="none" w:sz="0" w:space="0" w:color="auto"/>
      </w:divBdr>
    </w:div>
    <w:div w:id="488715193">
      <w:bodyDiv w:val="1"/>
      <w:marLeft w:val="0"/>
      <w:marRight w:val="0"/>
      <w:marTop w:val="0"/>
      <w:marBottom w:val="0"/>
      <w:divBdr>
        <w:top w:val="none" w:sz="0" w:space="0" w:color="auto"/>
        <w:left w:val="none" w:sz="0" w:space="0" w:color="auto"/>
        <w:bottom w:val="none" w:sz="0" w:space="0" w:color="auto"/>
        <w:right w:val="none" w:sz="0" w:space="0" w:color="auto"/>
      </w:divBdr>
    </w:div>
    <w:div w:id="497117530">
      <w:bodyDiv w:val="1"/>
      <w:marLeft w:val="0"/>
      <w:marRight w:val="0"/>
      <w:marTop w:val="0"/>
      <w:marBottom w:val="0"/>
      <w:divBdr>
        <w:top w:val="none" w:sz="0" w:space="0" w:color="auto"/>
        <w:left w:val="none" w:sz="0" w:space="0" w:color="auto"/>
        <w:bottom w:val="none" w:sz="0" w:space="0" w:color="auto"/>
        <w:right w:val="none" w:sz="0" w:space="0" w:color="auto"/>
      </w:divBdr>
      <w:divsChild>
        <w:div w:id="242689215">
          <w:marLeft w:val="0"/>
          <w:marRight w:val="0"/>
          <w:marTop w:val="0"/>
          <w:marBottom w:val="0"/>
          <w:divBdr>
            <w:top w:val="none" w:sz="0" w:space="0" w:color="auto"/>
            <w:left w:val="none" w:sz="0" w:space="0" w:color="auto"/>
            <w:bottom w:val="none" w:sz="0" w:space="0" w:color="auto"/>
            <w:right w:val="none" w:sz="0" w:space="0" w:color="auto"/>
          </w:divBdr>
        </w:div>
        <w:div w:id="289552692">
          <w:marLeft w:val="0"/>
          <w:marRight w:val="0"/>
          <w:marTop w:val="0"/>
          <w:marBottom w:val="0"/>
          <w:divBdr>
            <w:top w:val="none" w:sz="0" w:space="0" w:color="auto"/>
            <w:left w:val="none" w:sz="0" w:space="0" w:color="auto"/>
            <w:bottom w:val="none" w:sz="0" w:space="0" w:color="auto"/>
            <w:right w:val="none" w:sz="0" w:space="0" w:color="auto"/>
          </w:divBdr>
          <w:divsChild>
            <w:div w:id="33163103">
              <w:marLeft w:val="0"/>
              <w:marRight w:val="0"/>
              <w:marTop w:val="0"/>
              <w:marBottom w:val="0"/>
              <w:divBdr>
                <w:top w:val="none" w:sz="0" w:space="0" w:color="auto"/>
                <w:left w:val="none" w:sz="0" w:space="0" w:color="auto"/>
                <w:bottom w:val="none" w:sz="0" w:space="0" w:color="auto"/>
                <w:right w:val="none" w:sz="0" w:space="0" w:color="auto"/>
              </w:divBdr>
            </w:div>
            <w:div w:id="154807286">
              <w:marLeft w:val="0"/>
              <w:marRight w:val="0"/>
              <w:marTop w:val="0"/>
              <w:marBottom w:val="0"/>
              <w:divBdr>
                <w:top w:val="none" w:sz="0" w:space="0" w:color="auto"/>
                <w:left w:val="none" w:sz="0" w:space="0" w:color="auto"/>
                <w:bottom w:val="none" w:sz="0" w:space="0" w:color="auto"/>
                <w:right w:val="none" w:sz="0" w:space="0" w:color="auto"/>
              </w:divBdr>
            </w:div>
            <w:div w:id="199786469">
              <w:marLeft w:val="0"/>
              <w:marRight w:val="0"/>
              <w:marTop w:val="0"/>
              <w:marBottom w:val="0"/>
              <w:divBdr>
                <w:top w:val="none" w:sz="0" w:space="0" w:color="auto"/>
                <w:left w:val="none" w:sz="0" w:space="0" w:color="auto"/>
                <w:bottom w:val="none" w:sz="0" w:space="0" w:color="auto"/>
                <w:right w:val="none" w:sz="0" w:space="0" w:color="auto"/>
              </w:divBdr>
            </w:div>
            <w:div w:id="512695285">
              <w:marLeft w:val="0"/>
              <w:marRight w:val="0"/>
              <w:marTop w:val="0"/>
              <w:marBottom w:val="0"/>
              <w:divBdr>
                <w:top w:val="none" w:sz="0" w:space="0" w:color="auto"/>
                <w:left w:val="none" w:sz="0" w:space="0" w:color="auto"/>
                <w:bottom w:val="none" w:sz="0" w:space="0" w:color="auto"/>
                <w:right w:val="none" w:sz="0" w:space="0" w:color="auto"/>
              </w:divBdr>
            </w:div>
            <w:div w:id="650867914">
              <w:marLeft w:val="0"/>
              <w:marRight w:val="0"/>
              <w:marTop w:val="0"/>
              <w:marBottom w:val="0"/>
              <w:divBdr>
                <w:top w:val="none" w:sz="0" w:space="0" w:color="auto"/>
                <w:left w:val="none" w:sz="0" w:space="0" w:color="auto"/>
                <w:bottom w:val="none" w:sz="0" w:space="0" w:color="auto"/>
                <w:right w:val="none" w:sz="0" w:space="0" w:color="auto"/>
              </w:divBdr>
            </w:div>
            <w:div w:id="1083599664">
              <w:marLeft w:val="0"/>
              <w:marRight w:val="0"/>
              <w:marTop w:val="0"/>
              <w:marBottom w:val="0"/>
              <w:divBdr>
                <w:top w:val="none" w:sz="0" w:space="0" w:color="auto"/>
                <w:left w:val="none" w:sz="0" w:space="0" w:color="auto"/>
                <w:bottom w:val="none" w:sz="0" w:space="0" w:color="auto"/>
                <w:right w:val="none" w:sz="0" w:space="0" w:color="auto"/>
              </w:divBdr>
            </w:div>
            <w:div w:id="1652829893">
              <w:marLeft w:val="0"/>
              <w:marRight w:val="0"/>
              <w:marTop w:val="0"/>
              <w:marBottom w:val="0"/>
              <w:divBdr>
                <w:top w:val="none" w:sz="0" w:space="0" w:color="auto"/>
                <w:left w:val="none" w:sz="0" w:space="0" w:color="auto"/>
                <w:bottom w:val="none" w:sz="0" w:space="0" w:color="auto"/>
                <w:right w:val="none" w:sz="0" w:space="0" w:color="auto"/>
              </w:divBdr>
            </w:div>
          </w:divsChild>
        </w:div>
        <w:div w:id="337586810">
          <w:marLeft w:val="0"/>
          <w:marRight w:val="0"/>
          <w:marTop w:val="0"/>
          <w:marBottom w:val="0"/>
          <w:divBdr>
            <w:top w:val="none" w:sz="0" w:space="0" w:color="auto"/>
            <w:left w:val="none" w:sz="0" w:space="0" w:color="auto"/>
            <w:bottom w:val="none" w:sz="0" w:space="0" w:color="auto"/>
            <w:right w:val="none" w:sz="0" w:space="0" w:color="auto"/>
          </w:divBdr>
        </w:div>
        <w:div w:id="801192083">
          <w:marLeft w:val="0"/>
          <w:marRight w:val="0"/>
          <w:marTop w:val="0"/>
          <w:marBottom w:val="0"/>
          <w:divBdr>
            <w:top w:val="none" w:sz="0" w:space="0" w:color="auto"/>
            <w:left w:val="none" w:sz="0" w:space="0" w:color="auto"/>
            <w:bottom w:val="none" w:sz="0" w:space="0" w:color="auto"/>
            <w:right w:val="none" w:sz="0" w:space="0" w:color="auto"/>
          </w:divBdr>
        </w:div>
        <w:div w:id="925841707">
          <w:marLeft w:val="0"/>
          <w:marRight w:val="0"/>
          <w:marTop w:val="0"/>
          <w:marBottom w:val="0"/>
          <w:divBdr>
            <w:top w:val="none" w:sz="0" w:space="0" w:color="auto"/>
            <w:left w:val="none" w:sz="0" w:space="0" w:color="auto"/>
            <w:bottom w:val="none" w:sz="0" w:space="0" w:color="auto"/>
            <w:right w:val="none" w:sz="0" w:space="0" w:color="auto"/>
          </w:divBdr>
        </w:div>
        <w:div w:id="966931497">
          <w:marLeft w:val="0"/>
          <w:marRight w:val="0"/>
          <w:marTop w:val="0"/>
          <w:marBottom w:val="0"/>
          <w:divBdr>
            <w:top w:val="none" w:sz="0" w:space="0" w:color="auto"/>
            <w:left w:val="none" w:sz="0" w:space="0" w:color="auto"/>
            <w:bottom w:val="none" w:sz="0" w:space="0" w:color="auto"/>
            <w:right w:val="none" w:sz="0" w:space="0" w:color="auto"/>
          </w:divBdr>
        </w:div>
        <w:div w:id="1141384497">
          <w:marLeft w:val="0"/>
          <w:marRight w:val="0"/>
          <w:marTop w:val="0"/>
          <w:marBottom w:val="0"/>
          <w:divBdr>
            <w:top w:val="none" w:sz="0" w:space="0" w:color="auto"/>
            <w:left w:val="none" w:sz="0" w:space="0" w:color="auto"/>
            <w:bottom w:val="none" w:sz="0" w:space="0" w:color="auto"/>
            <w:right w:val="none" w:sz="0" w:space="0" w:color="auto"/>
          </w:divBdr>
        </w:div>
        <w:div w:id="1318529962">
          <w:marLeft w:val="0"/>
          <w:marRight w:val="0"/>
          <w:marTop w:val="0"/>
          <w:marBottom w:val="0"/>
          <w:divBdr>
            <w:top w:val="none" w:sz="0" w:space="0" w:color="auto"/>
            <w:left w:val="none" w:sz="0" w:space="0" w:color="auto"/>
            <w:bottom w:val="none" w:sz="0" w:space="0" w:color="auto"/>
            <w:right w:val="none" w:sz="0" w:space="0" w:color="auto"/>
          </w:divBdr>
        </w:div>
        <w:div w:id="1436098327">
          <w:marLeft w:val="0"/>
          <w:marRight w:val="0"/>
          <w:marTop w:val="0"/>
          <w:marBottom w:val="0"/>
          <w:divBdr>
            <w:top w:val="none" w:sz="0" w:space="0" w:color="auto"/>
            <w:left w:val="none" w:sz="0" w:space="0" w:color="auto"/>
            <w:bottom w:val="none" w:sz="0" w:space="0" w:color="auto"/>
            <w:right w:val="none" w:sz="0" w:space="0" w:color="auto"/>
          </w:divBdr>
        </w:div>
        <w:div w:id="1726104943">
          <w:marLeft w:val="0"/>
          <w:marRight w:val="0"/>
          <w:marTop w:val="0"/>
          <w:marBottom w:val="0"/>
          <w:divBdr>
            <w:top w:val="none" w:sz="0" w:space="0" w:color="auto"/>
            <w:left w:val="none" w:sz="0" w:space="0" w:color="auto"/>
            <w:bottom w:val="none" w:sz="0" w:space="0" w:color="auto"/>
            <w:right w:val="none" w:sz="0" w:space="0" w:color="auto"/>
          </w:divBdr>
        </w:div>
      </w:divsChild>
    </w:div>
    <w:div w:id="636763523">
      <w:bodyDiv w:val="1"/>
      <w:marLeft w:val="0"/>
      <w:marRight w:val="0"/>
      <w:marTop w:val="0"/>
      <w:marBottom w:val="0"/>
      <w:divBdr>
        <w:top w:val="none" w:sz="0" w:space="0" w:color="auto"/>
        <w:left w:val="none" w:sz="0" w:space="0" w:color="auto"/>
        <w:bottom w:val="none" w:sz="0" w:space="0" w:color="auto"/>
        <w:right w:val="none" w:sz="0" w:space="0" w:color="auto"/>
      </w:divBdr>
    </w:div>
    <w:div w:id="938876574">
      <w:bodyDiv w:val="1"/>
      <w:marLeft w:val="0"/>
      <w:marRight w:val="0"/>
      <w:marTop w:val="0"/>
      <w:marBottom w:val="0"/>
      <w:divBdr>
        <w:top w:val="none" w:sz="0" w:space="0" w:color="auto"/>
        <w:left w:val="none" w:sz="0" w:space="0" w:color="auto"/>
        <w:bottom w:val="none" w:sz="0" w:space="0" w:color="auto"/>
        <w:right w:val="none" w:sz="0" w:space="0" w:color="auto"/>
      </w:divBdr>
    </w:div>
    <w:div w:id="962468720">
      <w:bodyDiv w:val="1"/>
      <w:marLeft w:val="0"/>
      <w:marRight w:val="0"/>
      <w:marTop w:val="0"/>
      <w:marBottom w:val="0"/>
      <w:divBdr>
        <w:top w:val="none" w:sz="0" w:space="0" w:color="auto"/>
        <w:left w:val="none" w:sz="0" w:space="0" w:color="auto"/>
        <w:bottom w:val="none" w:sz="0" w:space="0" w:color="auto"/>
        <w:right w:val="none" w:sz="0" w:space="0" w:color="auto"/>
      </w:divBdr>
    </w:div>
    <w:div w:id="967852792">
      <w:bodyDiv w:val="1"/>
      <w:marLeft w:val="0"/>
      <w:marRight w:val="0"/>
      <w:marTop w:val="0"/>
      <w:marBottom w:val="0"/>
      <w:divBdr>
        <w:top w:val="none" w:sz="0" w:space="0" w:color="auto"/>
        <w:left w:val="none" w:sz="0" w:space="0" w:color="auto"/>
        <w:bottom w:val="none" w:sz="0" w:space="0" w:color="auto"/>
        <w:right w:val="none" w:sz="0" w:space="0" w:color="auto"/>
      </w:divBdr>
    </w:div>
    <w:div w:id="974986143">
      <w:bodyDiv w:val="1"/>
      <w:marLeft w:val="0"/>
      <w:marRight w:val="0"/>
      <w:marTop w:val="0"/>
      <w:marBottom w:val="0"/>
      <w:divBdr>
        <w:top w:val="none" w:sz="0" w:space="0" w:color="auto"/>
        <w:left w:val="none" w:sz="0" w:space="0" w:color="auto"/>
        <w:bottom w:val="none" w:sz="0" w:space="0" w:color="auto"/>
        <w:right w:val="none" w:sz="0" w:space="0" w:color="auto"/>
      </w:divBdr>
    </w:div>
    <w:div w:id="1453864800">
      <w:bodyDiv w:val="1"/>
      <w:marLeft w:val="0"/>
      <w:marRight w:val="0"/>
      <w:marTop w:val="0"/>
      <w:marBottom w:val="0"/>
      <w:divBdr>
        <w:top w:val="none" w:sz="0" w:space="0" w:color="auto"/>
        <w:left w:val="none" w:sz="0" w:space="0" w:color="auto"/>
        <w:bottom w:val="none" w:sz="0" w:space="0" w:color="auto"/>
        <w:right w:val="none" w:sz="0" w:space="0" w:color="auto"/>
      </w:divBdr>
    </w:div>
    <w:div w:id="1467820990">
      <w:bodyDiv w:val="1"/>
      <w:marLeft w:val="0"/>
      <w:marRight w:val="0"/>
      <w:marTop w:val="0"/>
      <w:marBottom w:val="0"/>
      <w:divBdr>
        <w:top w:val="none" w:sz="0" w:space="0" w:color="auto"/>
        <w:left w:val="none" w:sz="0" w:space="0" w:color="auto"/>
        <w:bottom w:val="none" w:sz="0" w:space="0" w:color="auto"/>
        <w:right w:val="none" w:sz="0" w:space="0" w:color="auto"/>
      </w:divBdr>
    </w:div>
    <w:div w:id="20814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6065490AEA466CB6B7C072C2465254"/>
        <w:category>
          <w:name w:val="General"/>
          <w:gallery w:val="placeholder"/>
        </w:category>
        <w:types>
          <w:type w:val="bbPlcHdr"/>
        </w:types>
        <w:behaviors>
          <w:behavior w:val="content"/>
        </w:behaviors>
        <w:guid w:val="{E4593D48-47DD-4DC0-AAF2-E42922413053}"/>
      </w:docPartPr>
      <w:docPartBody>
        <w:p w:rsidR="00173655" w:rsidRDefault="007D649F">
          <w:r w:rsidRPr="00E828CA">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49F"/>
    <w:rsid w:val="000E0E0E"/>
    <w:rsid w:val="00112F64"/>
    <w:rsid w:val="00173655"/>
    <w:rsid w:val="00206FA7"/>
    <w:rsid w:val="00222CCC"/>
    <w:rsid w:val="00256A11"/>
    <w:rsid w:val="002603AB"/>
    <w:rsid w:val="00374900"/>
    <w:rsid w:val="004C39E0"/>
    <w:rsid w:val="00501B2A"/>
    <w:rsid w:val="00552F20"/>
    <w:rsid w:val="00580849"/>
    <w:rsid w:val="005A5C51"/>
    <w:rsid w:val="00613593"/>
    <w:rsid w:val="00652256"/>
    <w:rsid w:val="0067087A"/>
    <w:rsid w:val="007D649F"/>
    <w:rsid w:val="00817517"/>
    <w:rsid w:val="008331A4"/>
    <w:rsid w:val="00944769"/>
    <w:rsid w:val="00961C3A"/>
    <w:rsid w:val="00AC498F"/>
    <w:rsid w:val="00B40F42"/>
    <w:rsid w:val="00BB56A0"/>
    <w:rsid w:val="00BE203E"/>
    <w:rsid w:val="00C2605A"/>
    <w:rsid w:val="00C46732"/>
    <w:rsid w:val="00CA68AB"/>
    <w:rsid w:val="00D056CC"/>
    <w:rsid w:val="00D7166E"/>
    <w:rsid w:val="00D72D54"/>
    <w:rsid w:val="00D81C72"/>
    <w:rsid w:val="00DB5365"/>
    <w:rsid w:val="00E52B34"/>
    <w:rsid w:val="00F84554"/>
    <w:rsid w:val="00FA701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A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2a6618-5246-433f-9a3a-82cc13a7c76c">
      <Terms xmlns="http://schemas.microsoft.com/office/infopath/2007/PartnerControls"/>
    </lcf76f155ced4ddcb4097134ff3c332f>
    <TaxCatchAll xmlns="7764588b-be80-4b22-977b-586652cb38b8" xsi:nil="true"/>
    <Source xmlns="e82a6618-5246-433f-9a3a-82cc13a7c76c" xsi:nil="true"/>
    <_dlc_DocId xmlns="7764588b-be80-4b22-977b-586652cb38b8">YEU7YCZ7SHNT-67281309-858208</_dlc_DocId>
    <_dlc_DocIdUrl xmlns="7764588b-be80-4b22-977b-586652cb38b8">
      <Url>https://trccompanies.sharepoint.com/sites/LOB/Power/AE/deliver/RC/_layouts/15/DocIdRedir.aspx?ID=YEU7YCZ7SHNT-67281309-858208</Url>
      <Description>YEU7YCZ7SHNT-67281309-858208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EE82DE5136BC458D5EED36FF935144" ma:contentTypeVersion="26" ma:contentTypeDescription="Create a new document." ma:contentTypeScope="" ma:versionID="b937b4564fe60299cea7b17f0b402953">
  <xsd:schema xmlns:xsd="http://www.w3.org/2001/XMLSchema" xmlns:xs="http://www.w3.org/2001/XMLSchema" xmlns:p="http://schemas.microsoft.com/office/2006/metadata/properties" xmlns:ns2="7764588b-be80-4b22-977b-586652cb38b8" xmlns:ns3="0e30f368-2351-48f1-985f-2771b1e0e99e" xmlns:ns4="e82a6618-5246-433f-9a3a-82cc13a7c76c" targetNamespace="http://schemas.microsoft.com/office/2006/metadata/properties" ma:root="true" ma:fieldsID="da2d0f2ce8d5454dc1549148bb53db57" ns2:_="" ns3:_="" ns4:_="">
    <xsd:import namespace="7764588b-be80-4b22-977b-586652cb38b8"/>
    <xsd:import namespace="0e30f368-2351-48f1-985f-2771b1e0e99e"/>
    <xsd:import namespace="e82a6618-5246-433f-9a3a-82cc13a7c76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CR" minOccurs="0"/>
                <xsd:element ref="ns4:Source"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4588b-be80-4b22-977b-586652cb38b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dd5dab-23a6-4338-857c-3d3f2dd57917}" ma:internalName="TaxCatchAll" ma:showField="CatchAllData" ma:web="7764588b-be80-4b22-977b-586652cb3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0f368-2351-48f1-985f-2771b1e0e99e"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a6618-5246-433f-9a3a-82cc13a7c76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ource" ma:index="19" nillable="true" ma:displayName="Source" ma:description="Where file came from (RTC, EMI or R&amp;C)" ma:format="Dropdown" ma:internalName="Source">
      <xsd:simpleType>
        <xsd:restriction base="dms:Choice">
          <xsd:enumeration value="RTC"/>
          <xsd:enumeration value="EMI"/>
          <xsd:enumeration value="R&amp;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208931-A116-4BAA-88FF-648EAC53BCDC}">
  <ds:schemaRefs>
    <ds:schemaRef ds:uri="http://schemas.microsoft.com/sharepoint/v3/contenttype/forms"/>
  </ds:schemaRefs>
</ds:datastoreItem>
</file>

<file path=customXml/itemProps3.xml><?xml version="1.0" encoding="utf-8"?>
<ds:datastoreItem xmlns:ds="http://schemas.openxmlformats.org/officeDocument/2006/customXml" ds:itemID="{F74C4487-9E2A-4CEA-AD7C-AD0148C7598A}">
  <ds:schemaRefs>
    <ds:schemaRef ds:uri="http://schemas.microsoft.com/office/2006/metadata/properties"/>
    <ds:schemaRef ds:uri="http://schemas.microsoft.com/office/infopath/2007/PartnerControls"/>
    <ds:schemaRef ds:uri="e82a6618-5246-433f-9a3a-82cc13a7c76c"/>
    <ds:schemaRef ds:uri="7764588b-be80-4b22-977b-586652cb38b8"/>
  </ds:schemaRefs>
</ds:datastoreItem>
</file>

<file path=customXml/itemProps4.xml><?xml version="1.0" encoding="utf-8"?>
<ds:datastoreItem xmlns:ds="http://schemas.openxmlformats.org/officeDocument/2006/customXml" ds:itemID="{FC91D621-2B57-4747-8579-1D3888EA9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4588b-be80-4b22-977b-586652cb38b8"/>
    <ds:schemaRef ds:uri="0e30f368-2351-48f1-985f-2771b1e0e99e"/>
    <ds:schemaRef ds:uri="e82a6618-5246-433f-9a3a-82cc13a7c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B6C86F-715E-4950-A788-F46D9C43C7E2}">
  <ds:schemaRefs>
    <ds:schemaRef ds:uri="http://schemas.microsoft.com/sharepoint/events"/>
  </ds:schemaRefs>
</ds:datastoreItem>
</file>

<file path=customXml/itemProps6.xml><?xml version="1.0" encoding="utf-8"?>
<ds:datastoreItem xmlns:ds="http://schemas.openxmlformats.org/officeDocument/2006/customXml" ds:itemID="{52AC9860-AA4B-42A9-A564-7F901BE2B7ED}">
  <ds:schemaRefs>
    <ds:schemaRef ds:uri="http://schemas.openxmlformats.org/officeDocument/2006/bibliography"/>
  </ds:schemaRefs>
</ds:datastoreItem>
</file>

<file path=docMetadata/LabelInfo.xml><?xml version="1.0" encoding="utf-8"?>
<clbl:labelList xmlns:clbl="http://schemas.microsoft.com/office/2020/mipLabelMetadata">
  <clbl:label id="{543eaf7b-7e0d-4076-a34d-1fc8cc20e5bb}" enabled="0" method="" siteId="{543eaf7b-7e0d-4076-a34d-1fc8cc20e5bb}" removed="1"/>
</clbl:labelList>
</file>

<file path=docProps/app.xml><?xml version="1.0" encoding="utf-8"?>
<Properties xmlns="http://schemas.openxmlformats.org/officeDocument/2006/extended-properties" xmlns:vt="http://schemas.openxmlformats.org/officeDocument/2006/docPropsVTypes">
  <Template>Normal</Template>
  <TotalTime>233</TotalTime>
  <Pages>7</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City of Goleta</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dconstantino</dc:creator>
  <cp:lastModifiedBy>Taylor, Taylor</cp:lastModifiedBy>
  <cp:revision>108</cp:revision>
  <cp:lastPrinted>2024-01-04T21:49:00Z</cp:lastPrinted>
  <dcterms:created xsi:type="dcterms:W3CDTF">2024-07-09T17:38:00Z</dcterms:created>
  <dcterms:modified xsi:type="dcterms:W3CDTF">2024-08-16T22:07:00Z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0x010100D7EE82DE5136BC458D5EED36FF935144</vt:lpwstr>
  </property>
  <property fmtid="{D5CDD505-2E9C-101B-9397-08002B2CF9AE}" pid="4" name="_dlc_DocIdItemGuid">
    <vt:lpwstr>673e36ad-184d-43ac-aca1-a5e41306e9f1</vt:lpwstr>
  </property>
</Properties>
</file>