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BEA2" w14:textId="2B07D8B2" w:rsidR="00DC3514" w:rsidRDefault="00DC3514" w:rsidP="00696B34">
      <w:pPr>
        <w:pStyle w:val="Heading1"/>
        <w:rPr>
          <w:rFonts w:ascii="Arial" w:hAnsi="Arial" w:cs="Arial"/>
        </w:rPr>
      </w:pPr>
      <w:r>
        <w:rPr>
          <w:rFonts w:ascii="Arial" w:hAnsi="Arial" w:cs="Arial"/>
        </w:rPr>
        <w:t xml:space="preserve">Summary of Model Code </w:t>
      </w:r>
      <w:r w:rsidR="00ED2BC4">
        <w:rPr>
          <w:rFonts w:ascii="Arial" w:hAnsi="Arial" w:cs="Arial"/>
        </w:rPr>
        <w:t>Amendments</w:t>
      </w:r>
      <w:r>
        <w:rPr>
          <w:rFonts w:ascii="Arial" w:hAnsi="Arial" w:cs="Arial"/>
        </w:rPr>
        <w:t>:</w:t>
      </w:r>
    </w:p>
    <w:p w14:paraId="0630BF13" w14:textId="6C3D528D" w:rsidR="007C4BDE" w:rsidRDefault="0F2639A7" w:rsidP="00902690">
      <w:r>
        <w:t>This model California Electric Vehicle (EV) code builds on the CALGreen 2022 Intervening Cycle updates adopted by the state in 2024 and effective 7/1/2024. It incorporates updates expected in the 2025 CALGreen Cycle, based on Express Terms published in March 2024. The major changes addressed by the model code (in comparison to the 2022 Intervening Cycle base code) are summarized below:</w:t>
      </w:r>
    </w:p>
    <w:p w14:paraId="0D852D1E" w14:textId="54E71C8A" w:rsidR="00391776" w:rsidRDefault="008268A5" w:rsidP="00391776">
      <w:pPr>
        <w:pStyle w:val="Heading2"/>
      </w:pPr>
      <w:r>
        <w:t xml:space="preserve">Key </w:t>
      </w:r>
      <w:r w:rsidR="00391776">
        <w:t xml:space="preserve">Residential </w:t>
      </w:r>
      <w:r w:rsidR="008B3B7D">
        <w:t xml:space="preserve">Reach </w:t>
      </w:r>
      <w:r w:rsidR="00391776">
        <w:t>Code Amendments:</w:t>
      </w:r>
    </w:p>
    <w:p w14:paraId="33AF2EF0" w14:textId="44B4CFE6" w:rsidR="006B4B23" w:rsidRDefault="006B4B23" w:rsidP="00FC39ED">
      <w:pPr>
        <w:pStyle w:val="ListParagraph"/>
        <w:numPr>
          <w:ilvl w:val="0"/>
          <w:numId w:val="43"/>
        </w:numPr>
      </w:pPr>
      <w:r>
        <w:rPr>
          <w:b/>
          <w:bCs/>
        </w:rPr>
        <w:t xml:space="preserve">One &amp; Two Family Dwellings: </w:t>
      </w:r>
      <w:r>
        <w:t xml:space="preserve">Requires </w:t>
      </w:r>
      <w:r w:rsidR="009D09F2">
        <w:t xml:space="preserve">installation of one Level 2 EV charging receptacle and, if </w:t>
      </w:r>
      <w:r w:rsidR="00A34B02">
        <w:t>a second parking space is provided, an additional Level 1 Receptacle.</w:t>
      </w:r>
    </w:p>
    <w:p w14:paraId="779C5768" w14:textId="4DAF438D" w:rsidR="00A34B02" w:rsidRDefault="0F2639A7" w:rsidP="00FC39ED">
      <w:pPr>
        <w:pStyle w:val="ListParagraph"/>
        <w:numPr>
          <w:ilvl w:val="0"/>
          <w:numId w:val="43"/>
        </w:numPr>
      </w:pPr>
      <w:r w:rsidRPr="0F2639A7">
        <w:rPr>
          <w:b/>
          <w:bCs/>
        </w:rPr>
        <w:t xml:space="preserve">Multifamily Dwellings: </w:t>
      </w:r>
      <w:r>
        <w:t>Requires one low-power Level 2 EV charging receptacle per dwelling unit with a parking space.</w:t>
      </w:r>
    </w:p>
    <w:p w14:paraId="5DD93DAE" w14:textId="0A4B0C1F" w:rsidR="00265BF5" w:rsidRDefault="00265BF5" w:rsidP="00265BF5">
      <w:pPr>
        <w:pStyle w:val="ListParagraph"/>
        <w:numPr>
          <w:ilvl w:val="1"/>
          <w:numId w:val="43"/>
        </w:numPr>
      </w:pPr>
      <w:r w:rsidRPr="00265BF5">
        <w:t xml:space="preserve">Specifies requirements based on </w:t>
      </w:r>
      <w:r>
        <w:t>whether parking is assigned or unassigned</w:t>
      </w:r>
      <w:r w:rsidR="00FB5526">
        <w:t xml:space="preserve"> to residents</w:t>
      </w:r>
      <w:r>
        <w:t>.</w:t>
      </w:r>
    </w:p>
    <w:p w14:paraId="104D0AAC" w14:textId="0C012435" w:rsidR="00265BF5" w:rsidRDefault="00265BF5" w:rsidP="00265BF5">
      <w:pPr>
        <w:pStyle w:val="ListParagraph"/>
        <w:numPr>
          <w:ilvl w:val="1"/>
          <w:numId w:val="43"/>
        </w:numPr>
      </w:pPr>
      <w:r>
        <w:t xml:space="preserve">For </w:t>
      </w:r>
      <w:r w:rsidR="00FB5526">
        <w:t xml:space="preserve">assigned parking, requires charging </w:t>
      </w:r>
      <w:r w:rsidR="00EB4381">
        <w:t>circuits and directly metered to the dwelling unit’s electric utility meter. (See Direct Metering below)</w:t>
      </w:r>
    </w:p>
    <w:p w14:paraId="0368458D" w14:textId="6B3212B2" w:rsidR="00EB4381" w:rsidRPr="00265BF5" w:rsidRDefault="00EB4381" w:rsidP="00265BF5">
      <w:pPr>
        <w:pStyle w:val="ListParagraph"/>
        <w:numPr>
          <w:ilvl w:val="1"/>
          <w:numId w:val="43"/>
        </w:numPr>
      </w:pPr>
      <w:r>
        <w:t xml:space="preserve">For unassigned </w:t>
      </w:r>
      <w:r w:rsidR="00BB177D">
        <w:t>parking, requires 25 percent of unassigned spaces include Level 2 EV Charging Stations installed.</w:t>
      </w:r>
    </w:p>
    <w:p w14:paraId="71E782B4" w14:textId="7CC80AE7" w:rsidR="00A34B02" w:rsidRDefault="00BB177D" w:rsidP="007F0FA7">
      <w:pPr>
        <w:pStyle w:val="ListParagraph"/>
        <w:numPr>
          <w:ilvl w:val="1"/>
          <w:numId w:val="43"/>
        </w:numPr>
      </w:pPr>
      <w:r>
        <w:rPr>
          <w:b/>
          <w:bCs/>
        </w:rPr>
        <w:t xml:space="preserve">Direct Metering: </w:t>
      </w:r>
      <w:r w:rsidR="007F0FA7">
        <w:t>Instead of requiring multifamily assigned parking</w:t>
      </w:r>
      <w:r w:rsidR="00130B08">
        <w:t xml:space="preserve"> EV receptacles</w:t>
      </w:r>
      <w:r w:rsidR="007F0FA7">
        <w:t xml:space="preserve"> to be wired directly to </w:t>
      </w:r>
      <w:r w:rsidR="00130B08">
        <w:t>each</w:t>
      </w:r>
      <w:r w:rsidR="007F0FA7">
        <w:t xml:space="preserve"> dwelling unit</w:t>
      </w:r>
      <w:r w:rsidR="00130B08">
        <w:t>’</w:t>
      </w:r>
      <w:r w:rsidR="007F0FA7">
        <w:t>s electric panel</w:t>
      </w:r>
      <w:r w:rsidR="00130B08">
        <w:t xml:space="preserve">, </w:t>
      </w:r>
      <w:r w:rsidR="00D469BF">
        <w:t>requires connection to the dwelling unit’s meter, which may allow for future virtual submetering technologies instead of direct wiring.</w:t>
      </w:r>
    </w:p>
    <w:p w14:paraId="5B688C7B" w14:textId="549AEABE" w:rsidR="00A560D5" w:rsidRDefault="00A560D5" w:rsidP="007F0FA7">
      <w:pPr>
        <w:pStyle w:val="ListParagraph"/>
        <w:numPr>
          <w:ilvl w:val="1"/>
          <w:numId w:val="43"/>
        </w:numPr>
      </w:pPr>
      <w:r>
        <w:t xml:space="preserve">Allows </w:t>
      </w:r>
      <w:r w:rsidR="00FE2E95">
        <w:t>direct current fast charging (DCFC) to substitute for 5 EV charging station spaces.</w:t>
      </w:r>
    </w:p>
    <w:p w14:paraId="08C2A4D9" w14:textId="6ED2FED3" w:rsidR="00E9298A" w:rsidRDefault="00E9298A" w:rsidP="00004607">
      <w:pPr>
        <w:pStyle w:val="ListParagraph"/>
        <w:numPr>
          <w:ilvl w:val="0"/>
          <w:numId w:val="43"/>
        </w:numPr>
      </w:pPr>
      <w:r>
        <w:rPr>
          <w:b/>
          <w:bCs/>
        </w:rPr>
        <w:t xml:space="preserve">Hotels &amp; Motels: </w:t>
      </w:r>
      <w:r>
        <w:t xml:space="preserve">Moves Hotel/Motel requirements to </w:t>
      </w:r>
      <w:r w:rsidR="00112FB0">
        <w:t xml:space="preserve">their own section within the Residential code and increases number </w:t>
      </w:r>
      <w:r w:rsidR="00CE2156">
        <w:t>of spaces with EV chargers required to 25%.</w:t>
      </w:r>
    </w:p>
    <w:p w14:paraId="1F36C3CE" w14:textId="679711BA" w:rsidR="002A0C1F" w:rsidRDefault="002A0C1F" w:rsidP="00004607">
      <w:pPr>
        <w:pStyle w:val="ListParagraph"/>
        <w:numPr>
          <w:ilvl w:val="0"/>
          <w:numId w:val="43"/>
        </w:numPr>
      </w:pPr>
      <w:r>
        <w:rPr>
          <w:b/>
          <w:bCs/>
        </w:rPr>
        <w:t xml:space="preserve">Additions &amp; Alterations at Multifamily or Hotel/Motel Parking: </w:t>
      </w:r>
      <w:r>
        <w:t xml:space="preserve">Clarifies the types of projects that count as </w:t>
      </w:r>
      <w:r w:rsidR="00E52724">
        <w:t xml:space="preserve">an addition or alteration (and exceptions). Requires </w:t>
      </w:r>
      <w:r w:rsidR="00DF3009">
        <w:t>each added or altered space to have at least a low power Level 2 EV receptacle.</w:t>
      </w:r>
    </w:p>
    <w:p w14:paraId="129AE3E5" w14:textId="24400D68" w:rsidR="00DF3009" w:rsidRPr="00E9298A" w:rsidRDefault="00DF3009" w:rsidP="00DF3009">
      <w:pPr>
        <w:pStyle w:val="ListParagraph"/>
        <w:numPr>
          <w:ilvl w:val="1"/>
          <w:numId w:val="43"/>
        </w:numPr>
      </w:pPr>
      <w:r>
        <w:t xml:space="preserve">Specifies treatment for buildings with and without existing EV </w:t>
      </w:r>
      <w:r w:rsidR="00A560D5">
        <w:t xml:space="preserve">capable </w:t>
      </w:r>
      <w:r w:rsidR="00465DD6">
        <w:t>spaces</w:t>
      </w:r>
      <w:r w:rsidR="00A560D5">
        <w:t>.</w:t>
      </w:r>
    </w:p>
    <w:p w14:paraId="3AA8F739" w14:textId="4BAB615A" w:rsidR="00004607" w:rsidRPr="00A34B02" w:rsidRDefault="00004607" w:rsidP="00004607">
      <w:pPr>
        <w:pStyle w:val="ListParagraph"/>
        <w:numPr>
          <w:ilvl w:val="0"/>
          <w:numId w:val="43"/>
        </w:numPr>
      </w:pPr>
      <w:r>
        <w:rPr>
          <w:b/>
          <w:bCs/>
        </w:rPr>
        <w:t xml:space="preserve">Charging plug standards: </w:t>
      </w:r>
      <w:r>
        <w:t xml:space="preserve">Allows for use of either J1772 or J3400 </w:t>
      </w:r>
      <w:r w:rsidR="007741B0">
        <w:t>(also known as NACS) connector type in any combination.</w:t>
      </w:r>
    </w:p>
    <w:p w14:paraId="1D99CDC5" w14:textId="23571C1F" w:rsidR="00391776" w:rsidRDefault="00A34B02" w:rsidP="00FC39ED">
      <w:pPr>
        <w:pStyle w:val="ListParagraph"/>
        <w:numPr>
          <w:ilvl w:val="0"/>
          <w:numId w:val="43"/>
        </w:numPr>
      </w:pPr>
      <w:r>
        <w:rPr>
          <w:b/>
          <w:bCs/>
        </w:rPr>
        <w:t xml:space="preserve">Cost Exceptions: </w:t>
      </w:r>
      <w:r w:rsidR="008268A5">
        <w:t>Incorporates</w:t>
      </w:r>
      <w:r w:rsidR="00FC39ED">
        <w:t xml:space="preserve"> cost thresholds of </w:t>
      </w:r>
      <w:r w:rsidR="008268A5">
        <w:t xml:space="preserve">greater than </w:t>
      </w:r>
      <w:r w:rsidR="00FC39ED">
        <w:t>$4,500 per</w:t>
      </w:r>
      <w:r w:rsidR="008268A5">
        <w:t xml:space="preserve"> EV</w:t>
      </w:r>
      <w:r w:rsidR="00FC39ED">
        <w:t xml:space="preserve"> parking space</w:t>
      </w:r>
      <w:r w:rsidR="008268A5">
        <w:t xml:space="preserve"> for exceptions from EV infrastructure requirements</w:t>
      </w:r>
      <w:r w:rsidR="00DF0CDB">
        <w:t>.</w:t>
      </w:r>
    </w:p>
    <w:p w14:paraId="1B15E4BC" w14:textId="6DD573F7" w:rsidR="0098690D" w:rsidRDefault="0098690D" w:rsidP="0098690D">
      <w:pPr>
        <w:pStyle w:val="Heading2"/>
      </w:pPr>
      <w:r>
        <w:t xml:space="preserve">Key Non-Residential </w:t>
      </w:r>
      <w:r w:rsidR="008B3B7D">
        <w:t xml:space="preserve">Reach </w:t>
      </w:r>
      <w:r>
        <w:t>Code Amendments:</w:t>
      </w:r>
    </w:p>
    <w:p w14:paraId="505D5A20" w14:textId="59FA834B" w:rsidR="00240F50" w:rsidRPr="00240F50" w:rsidRDefault="00240F50" w:rsidP="0098690D">
      <w:pPr>
        <w:pStyle w:val="ListParagraph"/>
        <w:numPr>
          <w:ilvl w:val="0"/>
          <w:numId w:val="44"/>
        </w:numPr>
      </w:pPr>
      <w:r>
        <w:rPr>
          <w:b/>
          <w:bCs/>
        </w:rPr>
        <w:t xml:space="preserve">Number of EV Capable or EVCS spaces impacted: </w:t>
      </w:r>
      <w:r>
        <w:t xml:space="preserve">Increases total EV space requirement to 45% </w:t>
      </w:r>
      <w:r w:rsidR="004C74F3">
        <w:t>of parking spaces, aligned with proposed 2025 Tier 2 requirements.</w:t>
      </w:r>
    </w:p>
    <w:p w14:paraId="1A36FE46" w14:textId="509ED7CD" w:rsidR="0098690D" w:rsidRPr="0098690D" w:rsidRDefault="0049562D" w:rsidP="0098690D">
      <w:pPr>
        <w:pStyle w:val="ListParagraph"/>
        <w:numPr>
          <w:ilvl w:val="0"/>
          <w:numId w:val="44"/>
        </w:numPr>
      </w:pPr>
      <w:r>
        <w:rPr>
          <w:b/>
          <w:bCs/>
        </w:rPr>
        <w:t xml:space="preserve">Office &amp; Retail Requirements: </w:t>
      </w:r>
      <w:r w:rsidR="00240F50">
        <w:t xml:space="preserve">Increases </w:t>
      </w:r>
      <w:r w:rsidR="004C74F3">
        <w:t xml:space="preserve">ratio of </w:t>
      </w:r>
      <w:r w:rsidR="00795A12">
        <w:t>required EV Charging Station spaces for Office and Retail locations.</w:t>
      </w:r>
    </w:p>
    <w:p w14:paraId="79F0113B" w14:textId="4F223834" w:rsidR="0098690D" w:rsidRPr="00A34B02" w:rsidRDefault="0098690D" w:rsidP="0098690D">
      <w:pPr>
        <w:pStyle w:val="ListParagraph"/>
        <w:numPr>
          <w:ilvl w:val="0"/>
          <w:numId w:val="44"/>
        </w:numPr>
      </w:pPr>
      <w:r>
        <w:rPr>
          <w:b/>
          <w:bCs/>
        </w:rPr>
        <w:t xml:space="preserve">Charging plug standards: </w:t>
      </w:r>
      <w:r>
        <w:t xml:space="preserve">Allows for use of </w:t>
      </w:r>
      <w:r w:rsidR="00C31FB7">
        <w:t>both</w:t>
      </w:r>
      <w:r>
        <w:t xml:space="preserve"> J1772 or J3400 </w:t>
      </w:r>
      <w:r w:rsidR="00465DD6">
        <w:t xml:space="preserve">plug connector standards </w:t>
      </w:r>
      <w:r>
        <w:t>(also known as NACS).</w:t>
      </w:r>
    </w:p>
    <w:p w14:paraId="1915D071" w14:textId="2C56952D" w:rsidR="0098690D" w:rsidRDefault="0F2639A7" w:rsidP="00553163">
      <w:pPr>
        <w:pStyle w:val="ListParagraph"/>
        <w:numPr>
          <w:ilvl w:val="0"/>
          <w:numId w:val="44"/>
        </w:numPr>
      </w:pPr>
      <w:r w:rsidRPr="0F2639A7">
        <w:rPr>
          <w:b/>
          <w:bCs/>
        </w:rPr>
        <w:t xml:space="preserve">Cost Exceptions: </w:t>
      </w:r>
      <w:r>
        <w:t>Incorporates cost thresholds of greater than $4,500 per EV parking space for exceptions from light duty EV infrastructure requirements, and $10,000 for medium- and heavy-duty EV infrastructure.</w:t>
      </w:r>
    </w:p>
    <w:p w14:paraId="6393D9E7" w14:textId="77777777" w:rsidR="00EB54C9" w:rsidRDefault="00EB54C9" w:rsidP="00EB54C9"/>
    <w:p w14:paraId="1C68724D" w14:textId="77777777" w:rsidR="00EB54C9" w:rsidRDefault="00EB54C9" w:rsidP="00EB54C9"/>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7088"/>
      </w:tblGrid>
      <w:tr w:rsidR="00EB54C9" w:rsidRPr="00401AA9" w14:paraId="2AD12ECA"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061E789"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Version Date</w:t>
            </w:r>
            <w:r w:rsidRPr="00401AA9">
              <w:rPr>
                <w:rFonts w:cstheme="minorHAnsi"/>
                <w:sz w:val="23"/>
                <w:szCs w:val="23"/>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6FC5EE4"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Summary of Updates</w:t>
            </w:r>
            <w:r w:rsidRPr="00401AA9">
              <w:rPr>
                <w:rFonts w:cstheme="minorHAnsi"/>
                <w:sz w:val="23"/>
                <w:szCs w:val="23"/>
              </w:rPr>
              <w:t> </w:t>
            </w:r>
          </w:p>
        </w:tc>
      </w:tr>
      <w:tr w:rsidR="00EB54C9" w:rsidRPr="00401AA9" w14:paraId="79EEE417"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5FCCCAE" w14:textId="69AC859C" w:rsidR="00EB54C9" w:rsidRPr="00401AA9" w:rsidRDefault="0F2639A7" w:rsidP="00D36104">
            <w:pPr>
              <w:jc w:val="center"/>
              <w:textAlignment w:val="baseline"/>
              <w:rPr>
                <w:sz w:val="23"/>
                <w:szCs w:val="23"/>
              </w:rPr>
            </w:pPr>
            <w:r w:rsidRPr="0F2639A7">
              <w:rPr>
                <w:sz w:val="23"/>
                <w:szCs w:val="23"/>
              </w:rPr>
              <w:t>March 2024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3E450C1F" w14:textId="77777777" w:rsidR="00EB54C9" w:rsidRPr="00401AA9" w:rsidRDefault="00EB54C9" w:rsidP="00D36104">
            <w:pPr>
              <w:jc w:val="center"/>
              <w:textAlignment w:val="baseline"/>
              <w:rPr>
                <w:rFonts w:cstheme="minorHAnsi"/>
                <w:sz w:val="23"/>
                <w:szCs w:val="23"/>
              </w:rPr>
            </w:pPr>
            <w:r w:rsidRPr="00401AA9">
              <w:rPr>
                <w:rFonts w:cstheme="minorHAnsi"/>
                <w:sz w:val="23"/>
                <w:szCs w:val="23"/>
              </w:rPr>
              <w:t>1st draft </w:t>
            </w:r>
          </w:p>
        </w:tc>
      </w:tr>
    </w:tbl>
    <w:p w14:paraId="6D2C1D03" w14:textId="77777777" w:rsidR="00EB54C9" w:rsidRPr="0098690D" w:rsidRDefault="00EB54C9" w:rsidP="00EB54C9"/>
    <w:p w14:paraId="468973D5" w14:textId="77777777" w:rsidR="00EB54C9" w:rsidRDefault="00EB54C9">
      <w:pPr>
        <w:rPr>
          <w:rFonts w:ascii="Arial" w:eastAsiaTheme="majorEastAsia" w:hAnsi="Arial" w:cs="Arial"/>
          <w:color w:val="2F5496" w:themeColor="accent1" w:themeShade="BF"/>
          <w:sz w:val="32"/>
          <w:szCs w:val="32"/>
        </w:rPr>
      </w:pPr>
      <w:r>
        <w:rPr>
          <w:rFonts w:ascii="Arial" w:hAnsi="Arial" w:cs="Arial"/>
        </w:rPr>
        <w:br w:type="page"/>
      </w:r>
    </w:p>
    <w:p w14:paraId="21189868" w14:textId="3B18EEAF" w:rsidR="00696B34" w:rsidRDefault="2828E2E4" w:rsidP="00696B34">
      <w:pPr>
        <w:pStyle w:val="Heading1"/>
        <w:rPr>
          <w:rFonts w:ascii="Arial" w:hAnsi="Arial" w:cs="Arial"/>
        </w:rPr>
      </w:pPr>
      <w:r w:rsidRPr="299C6957">
        <w:rPr>
          <w:rFonts w:ascii="Arial" w:hAnsi="Arial" w:cs="Arial"/>
        </w:rPr>
        <w:lastRenderedPageBreak/>
        <w:t>Chapter 2</w:t>
      </w:r>
      <w:r w:rsidR="72AF001F" w:rsidRPr="299C6957">
        <w:rPr>
          <w:rFonts w:ascii="Arial" w:hAnsi="Arial" w:cs="Arial"/>
        </w:rPr>
        <w:t xml:space="preserve"> – De</w:t>
      </w:r>
      <w:r w:rsidR="08892B35" w:rsidRPr="299C6957">
        <w:rPr>
          <w:rFonts w:ascii="Arial" w:hAnsi="Arial" w:cs="Arial"/>
        </w:rPr>
        <w:t>finitions</w:t>
      </w:r>
    </w:p>
    <w:p w14:paraId="69AF9CED" w14:textId="77777777" w:rsidR="009C48B5" w:rsidRDefault="009C48B5" w:rsidP="00696B34">
      <w:pPr>
        <w:rPr>
          <w:b/>
          <w:bCs/>
        </w:rPr>
      </w:pPr>
    </w:p>
    <w:p w14:paraId="4C3963CF" w14:textId="742D3E3F" w:rsidR="0002667C" w:rsidRPr="00902690" w:rsidRDefault="44296F05" w:rsidP="299C6957">
      <w:pPr>
        <w:rPr>
          <w:u w:val="single"/>
        </w:rPr>
      </w:pPr>
      <w:r w:rsidRPr="00902690">
        <w:rPr>
          <w:b/>
          <w:bCs/>
          <w:u w:val="single"/>
        </w:rPr>
        <w:t xml:space="preserve">AFFORDABLE HOUSING </w:t>
      </w:r>
      <w:r w:rsidR="7ECC316E" w:rsidRPr="00902690">
        <w:rPr>
          <w:u w:val="single"/>
        </w:rPr>
        <w:t>Residential buildings that entirely consist of units below market rate and whose rents or sales prices are governed by local agencies to be affordable based on area median income.</w:t>
      </w:r>
    </w:p>
    <w:p w14:paraId="19CB413F" w14:textId="06FB20CB" w:rsidR="003566AD" w:rsidRPr="008160F8" w:rsidRDefault="5A404601" w:rsidP="00696B34">
      <w:pPr>
        <w:rPr>
          <w:u w:val="single"/>
        </w:rPr>
      </w:pPr>
      <w:r w:rsidRPr="299C6957">
        <w:rPr>
          <w:b/>
          <w:bCs/>
          <w:u w:val="single"/>
        </w:rPr>
        <w:t>ASSIGNED PARKING</w:t>
      </w:r>
      <w:r w:rsidR="6A6191F1" w:rsidRPr="299C6957">
        <w:rPr>
          <w:b/>
          <w:bCs/>
          <w:u w:val="single"/>
        </w:rPr>
        <w:t>.</w:t>
      </w:r>
      <w:r w:rsidRPr="299C6957">
        <w:rPr>
          <w:b/>
          <w:bCs/>
          <w:u w:val="single"/>
        </w:rPr>
        <w:t xml:space="preserve"> </w:t>
      </w:r>
      <w:r w:rsidRPr="299C6957">
        <w:rPr>
          <w:u w:val="single"/>
        </w:rPr>
        <w:t xml:space="preserve">Parking spaces </w:t>
      </w:r>
      <w:r w:rsidR="75EAD8C3" w:rsidRPr="299C6957">
        <w:rPr>
          <w:u w:val="single"/>
        </w:rPr>
        <w:t xml:space="preserve">in a residential parking facility that are </w:t>
      </w:r>
      <w:r w:rsidR="66ADC734" w:rsidRPr="299C6957">
        <w:rPr>
          <w:u w:val="single"/>
        </w:rPr>
        <w:t xml:space="preserve">assigned or designated for use by a specific living unit within the building or residence. </w:t>
      </w:r>
    </w:p>
    <w:p w14:paraId="005EAF32" w14:textId="41393F2C" w:rsidR="00696B34" w:rsidRDefault="57F52F0B" w:rsidP="00696B34">
      <w:r w:rsidRPr="299C6957">
        <w:rPr>
          <w:b/>
          <w:bCs/>
        </w:rPr>
        <w:t>AUTOMATIC LOAD MANAGEMENT SYSTEM (ALMS). [BSC-CG, DSA-SS and HCD] </w:t>
      </w:r>
      <w:r>
        <w:t>A system designed to manage load across one or more electric vehicle supply equipment (EVSE) to share electrical capacity and/or automatically manage power at each connection point.</w:t>
      </w:r>
    </w:p>
    <w:p w14:paraId="2AF62865" w14:textId="3375FE83" w:rsidR="00590C0E" w:rsidRDefault="00D42194" w:rsidP="6FAC624F">
      <w:pPr>
        <w:rPr>
          <w:b/>
          <w:bCs/>
          <w:strike/>
        </w:rPr>
      </w:pPr>
      <w:r w:rsidRPr="6FAC624F">
        <w:rPr>
          <w:b/>
          <w:bCs/>
        </w:rPr>
        <w:t xml:space="preserve">DIRECT CURRENT FAST CHARGING </w:t>
      </w:r>
      <w:r w:rsidR="00646DEE" w:rsidRPr="6FAC624F">
        <w:rPr>
          <w:b/>
          <w:bCs/>
        </w:rPr>
        <w:t>(D</w:t>
      </w:r>
      <w:r w:rsidR="0002667C" w:rsidRPr="6FAC624F">
        <w:rPr>
          <w:b/>
          <w:bCs/>
        </w:rPr>
        <w:t>CFC</w:t>
      </w:r>
      <w:r w:rsidR="00646DEE" w:rsidRPr="6FAC624F">
        <w:rPr>
          <w:b/>
          <w:bCs/>
        </w:rPr>
        <w:t>)</w:t>
      </w:r>
      <w:r w:rsidR="0005013D" w:rsidRPr="6FAC624F">
        <w:rPr>
          <w:b/>
          <w:bCs/>
        </w:rPr>
        <w:t xml:space="preserve"> </w:t>
      </w:r>
      <w:r w:rsidR="00590C0E">
        <w:t>A parking space provided with electrical infrastructure that meets the following conditions:</w:t>
      </w:r>
    </w:p>
    <w:p w14:paraId="4078709A" w14:textId="082576B9" w:rsidR="00590C0E" w:rsidRDefault="743A4E29" w:rsidP="005B4116">
      <w:pPr>
        <w:pStyle w:val="ListParagraph"/>
        <w:numPr>
          <w:ilvl w:val="0"/>
          <w:numId w:val="36"/>
        </w:numPr>
      </w:pPr>
      <w:r>
        <w:t>A minimum of 48 kV</w:t>
      </w:r>
      <w:r w:rsidR="0914BA97">
        <w:t>A</w:t>
      </w:r>
      <w:r>
        <w:t xml:space="preserve"> (480 volt, 100-ampere) capacity wiring.</w:t>
      </w:r>
    </w:p>
    <w:p w14:paraId="7A6FF1A5" w14:textId="5E0CBB84" w:rsidR="0002667C" w:rsidRPr="0005013D" w:rsidRDefault="00590C0E" w:rsidP="005B4116">
      <w:pPr>
        <w:pStyle w:val="ListParagraph"/>
        <w:numPr>
          <w:ilvl w:val="0"/>
          <w:numId w:val="36"/>
        </w:numPr>
      </w:pPr>
      <w:r>
        <w:t>Electric vehicle supply equipment (EVSE) located within three (3) feet of the parking space providing a minimum capacity of 80-ampere.</w:t>
      </w:r>
    </w:p>
    <w:p w14:paraId="07E25974" w14:textId="37BA2025" w:rsidR="004B0AD1" w:rsidRPr="004B0AD1" w:rsidRDefault="4DB0ACB7" w:rsidP="004B0AD1">
      <w:r w:rsidRPr="299C6957">
        <w:rPr>
          <w:b/>
          <w:bCs/>
        </w:rPr>
        <w:t>ELECTRIC VEHICLE (EV) CAPABLE SPACE. [BSC-CG, DSA-SS and HCD]</w:t>
      </w:r>
      <w:r>
        <w:t> A vehicle space with electrical panel space and load capacity to support a branch circuit and necessary raceways, both underground and/or surface mounted, to support EV charging.</w:t>
      </w:r>
    </w:p>
    <w:p w14:paraId="118E5C88" w14:textId="77777777" w:rsidR="004B0AD1" w:rsidRPr="004B0AD1" w:rsidRDefault="004B0AD1" w:rsidP="004B0AD1">
      <w:r w:rsidRPr="004B0AD1">
        <w:rPr>
          <w:b/>
          <w:bCs/>
        </w:rPr>
        <w:t>ELECTRIC VEHICLE (EV) CHARGER. [BSC-CG, HCD]</w:t>
      </w:r>
      <w:r w:rsidRPr="004B0AD1">
        <w:t> Off-board charging equipment used to charge an electric vehicle.</w:t>
      </w:r>
    </w:p>
    <w:p w14:paraId="1D809963" w14:textId="77777777" w:rsidR="004B0AD1" w:rsidRPr="004B0AD1" w:rsidRDefault="4DB0ACB7" w:rsidP="004B0AD1">
      <w:r w:rsidRPr="299C6957">
        <w:rPr>
          <w:b/>
          <w:bCs/>
        </w:rPr>
        <w:t>ELECTRIC VEHICLE CHARGING SPACE (EV SPACE). [HCD]</w:t>
      </w:r>
      <w:r>
        <w:t> A space intended for future installation of EV charging equipment and charging of electric vehicles.</w:t>
      </w:r>
    </w:p>
    <w:p w14:paraId="6989257B" w14:textId="77777777" w:rsidR="004B0AD1" w:rsidRPr="004B0AD1" w:rsidRDefault="4DB0ACB7" w:rsidP="004B0AD1">
      <w:r w:rsidRPr="299C6957">
        <w:rPr>
          <w:b/>
          <w:bCs/>
        </w:rPr>
        <w:t>ELECTRIC VEHICLE CHARGING STATION (EVCS). [BSC-CG, DSA-SS, HCD]</w:t>
      </w:r>
      <w:r>
        <w:t> One or more electric vehicle charging spaces served by EVSE or receptacle(s).</w:t>
      </w:r>
    </w:p>
    <w:p w14:paraId="4D6FDA91" w14:textId="77777777" w:rsidR="004B0AD1" w:rsidRPr="004B0AD1" w:rsidRDefault="4DB0ACB7" w:rsidP="004B0AD1">
      <w:r w:rsidRPr="299C6957">
        <w:rPr>
          <w:b/>
          <w:bCs/>
        </w:rPr>
        <w:t>ELECTRIC VEHICLE (EV) READY SPACE. [HCD] </w:t>
      </w:r>
      <w:r>
        <w:t>A vehicle space which is provided with a branch circuit; any necessary raceways, both underground and/or surface mounted; to accommodate EV charging, terminating in a receptacle or a charger.</w:t>
      </w:r>
    </w:p>
    <w:p w14:paraId="5720C251" w14:textId="77777777" w:rsidR="004B0AD1" w:rsidRPr="004B0AD1" w:rsidRDefault="4DB0ACB7" w:rsidP="004B0AD1">
      <w:r w:rsidRPr="299C6957">
        <w:rPr>
          <w:b/>
          <w:bCs/>
        </w:rPr>
        <w:t>ELECTRIC VEHICLE SUPPLY EQUIPMENT (EVSE). [BSC-CG, DSA-SS and HCD] </w:t>
      </w:r>
      <w:r>
        <w:t>The conductors, including the ungrounded, grounded and equipment grounding conductors and the electric vehicle connectors, attachment plugs, personnel protection system, and all other fittings, devices, power outlets or apparatus installed specifically for the purpose of transferring energy between the premises wiring and the electric vehicle.</w:t>
      </w:r>
    </w:p>
    <w:p w14:paraId="62E238C2" w14:textId="77777777" w:rsidR="0002667C" w:rsidRPr="0002667C" w:rsidRDefault="091F8EAF" w:rsidP="0002667C">
      <w:r w:rsidRPr="299C6957">
        <w:rPr>
          <w:b/>
          <w:bCs/>
        </w:rPr>
        <w:t>LEVEL 1 ELECTRIC VEHICLE (EV) CHARGING RECEPTACLE. [DSA-SS]</w:t>
      </w:r>
      <w:r>
        <w:t> A 120-volt 20-ampere minimum branch circuit and a receptacle.</w:t>
      </w:r>
    </w:p>
    <w:p w14:paraId="1BA8655D" w14:textId="77777777" w:rsidR="0002667C" w:rsidRDefault="0002667C" w:rsidP="0002667C">
      <w:r w:rsidRPr="0002667C">
        <w:rPr>
          <w:b/>
          <w:bCs/>
        </w:rPr>
        <w:t>LEVEL 2 ELECTRIC VEHICLE (EV) CHARGER. [BSC-CG, HCD]</w:t>
      </w:r>
      <w:r w:rsidRPr="0002667C">
        <w:t> A 208/240-volt 30-ampere minimum electric vehicle charger connected to the premises electrical system capable of charging electric vehicles.</w:t>
      </w:r>
    </w:p>
    <w:p w14:paraId="74082F5B" w14:textId="20AF0FFD" w:rsidR="006449AF" w:rsidRPr="0002667C" w:rsidRDefault="006449AF" w:rsidP="0002667C">
      <w:r w:rsidRPr="00606047">
        <w:rPr>
          <w:b/>
          <w:bCs/>
          <w:u w:val="single"/>
        </w:rPr>
        <w:lastRenderedPageBreak/>
        <w:t xml:space="preserve">LEVEL 2 ELECTRIC VEHICLE (EV) CHARGING RECEPTACLE. </w:t>
      </w:r>
      <w:r w:rsidRPr="00606047">
        <w:rPr>
          <w:u w:val="single"/>
        </w:rPr>
        <w:t>A 208/240-volt 40-ampere minimum branch circuit and a receptacle.</w:t>
      </w:r>
    </w:p>
    <w:p w14:paraId="26455011" w14:textId="77777777" w:rsidR="0002667C" w:rsidRPr="0002667C" w:rsidRDefault="091F8EAF" w:rsidP="0002667C">
      <w:r w:rsidRPr="299C6957">
        <w:rPr>
          <w:b/>
          <w:bCs/>
        </w:rPr>
        <w:t>LEVEL 2 ELECTRIC VEHICLE SUPPLY EQUIPMENT. [BSC-CG, DSA-SS, HCD]</w:t>
      </w:r>
      <w:r>
        <w:t> The 208/240-volt 40-ampere branch circuit, and the electric vehicle charging connectors, attachment plugs and all other fittings, devices, power outlets or apparatus installed specifically for the purpose of transferring energy between the premises wiring and the electric vehicle.</w:t>
      </w:r>
    </w:p>
    <w:p w14:paraId="34BFDC40" w14:textId="77777777" w:rsidR="00D42194" w:rsidRDefault="5E2A2363" w:rsidP="00696B34">
      <w:r w:rsidRPr="299C6957">
        <w:rPr>
          <w:b/>
          <w:bCs/>
        </w:rPr>
        <w:t>LOW POWER LEVEL 2 ELECTRIC VEHICLE (EV) CHARGING RECEPTACLE. [BSC-CG, DSA-SS, HCD]</w:t>
      </w:r>
      <w:r>
        <w:t xml:space="preserve"> A 208/240-volt 20-ampere minimum branch circuit and a receptacle.</w:t>
      </w:r>
    </w:p>
    <w:p w14:paraId="7707FB53" w14:textId="41EEF02E" w:rsidR="003566AD" w:rsidRPr="000D211D" w:rsidRDefault="66ADC734" w:rsidP="00696B34">
      <w:pPr>
        <w:rPr>
          <w:u w:val="single"/>
        </w:rPr>
      </w:pPr>
      <w:r w:rsidRPr="299C6957">
        <w:rPr>
          <w:b/>
          <w:bCs/>
          <w:u w:val="single"/>
        </w:rPr>
        <w:t>UNASSIGNED OR COMMON USE PARKING</w:t>
      </w:r>
      <w:r w:rsidR="6A6191F1" w:rsidRPr="299C6957">
        <w:rPr>
          <w:b/>
          <w:bCs/>
          <w:u w:val="single"/>
        </w:rPr>
        <w:t>.</w:t>
      </w:r>
      <w:r w:rsidRPr="299C6957">
        <w:rPr>
          <w:u w:val="single"/>
        </w:rPr>
        <w:t xml:space="preserve"> </w:t>
      </w:r>
      <w:r w:rsidR="582B888A" w:rsidRPr="299C6957">
        <w:rPr>
          <w:u w:val="single"/>
        </w:rPr>
        <w:t xml:space="preserve">Parking spaces in a residential parking facility that are </w:t>
      </w:r>
      <w:r w:rsidR="7E75F3F1" w:rsidRPr="299C6957">
        <w:rPr>
          <w:u w:val="single"/>
        </w:rPr>
        <w:t>not reserved for or assigned to a specific living unit within the building or residence</w:t>
      </w:r>
      <w:r w:rsidR="00B70FC8">
        <w:rPr>
          <w:u w:val="single"/>
        </w:rPr>
        <w:t>, including guest, staff, or other non-resident parking</w:t>
      </w:r>
      <w:r w:rsidR="7E75F3F1" w:rsidRPr="299C6957">
        <w:rPr>
          <w:u w:val="single"/>
        </w:rPr>
        <w:t>.</w:t>
      </w:r>
      <w:r w:rsidR="582B888A" w:rsidRPr="299C6957">
        <w:rPr>
          <w:u w:val="single"/>
        </w:rPr>
        <w:t xml:space="preserve"> </w:t>
      </w:r>
    </w:p>
    <w:p w14:paraId="21CA94F3" w14:textId="12D355E8" w:rsidR="003566AD" w:rsidRPr="00696B34" w:rsidRDefault="003566AD" w:rsidP="00696B34">
      <w:pPr>
        <w:sectPr w:rsidR="003566AD" w:rsidRPr="00696B34" w:rsidSect="003545CD">
          <w:headerReference w:type="default" r:id="rId11"/>
          <w:footerReference w:type="default" r:id="rId12"/>
          <w:pgSz w:w="12240" w:h="15840"/>
          <w:pgMar w:top="1440" w:right="1440" w:bottom="1440" w:left="1440" w:header="720" w:footer="720" w:gutter="0"/>
          <w:cols w:space="720"/>
          <w:docGrid w:linePitch="360"/>
        </w:sectPr>
      </w:pPr>
    </w:p>
    <w:p w14:paraId="4AC62DEA" w14:textId="06C29D2D" w:rsidR="00A51E0F" w:rsidRPr="00F9057B" w:rsidRDefault="00A51E0F" w:rsidP="006673A6">
      <w:pPr>
        <w:pStyle w:val="Heading1"/>
        <w:rPr>
          <w:rFonts w:ascii="Arial" w:hAnsi="Arial" w:cs="Arial"/>
        </w:rPr>
      </w:pPr>
      <w:r w:rsidRPr="00F9057B">
        <w:rPr>
          <w:rFonts w:ascii="Arial" w:hAnsi="Arial" w:cs="Arial"/>
        </w:rPr>
        <w:lastRenderedPageBreak/>
        <w:t>Chapter 3</w:t>
      </w:r>
      <w:r w:rsidR="006673A6" w:rsidRPr="00F9057B">
        <w:rPr>
          <w:rFonts w:ascii="Arial" w:hAnsi="Arial" w:cs="Arial"/>
        </w:rPr>
        <w:t xml:space="preserve"> – Green Building</w:t>
      </w:r>
      <w:r w:rsidRPr="00F9057B">
        <w:rPr>
          <w:rFonts w:ascii="Arial" w:hAnsi="Arial" w:cs="Arial"/>
        </w:rPr>
        <w:t xml:space="preserve"> </w:t>
      </w:r>
    </w:p>
    <w:p w14:paraId="3224AE32" w14:textId="75E52C8F" w:rsidR="00707D33" w:rsidRPr="00707D33" w:rsidRDefault="00707D33" w:rsidP="00707D33">
      <w:pPr>
        <w:rPr>
          <w:rFonts w:ascii="Arial" w:hAnsi="Arial" w:cs="Arial"/>
          <w:b/>
          <w:bCs/>
        </w:rPr>
      </w:pPr>
      <w:r w:rsidRPr="00707D33">
        <w:rPr>
          <w:rFonts w:ascii="Arial" w:hAnsi="Arial" w:cs="Arial"/>
          <w:b/>
          <w:bCs/>
        </w:rPr>
        <w:t>301.1.1 Additions and alterations.</w:t>
      </w:r>
    </w:p>
    <w:p w14:paraId="443B73C7" w14:textId="61457325" w:rsidR="00707D33" w:rsidRPr="00707D33" w:rsidRDefault="00707D33" w:rsidP="00707D33">
      <w:pPr>
        <w:rPr>
          <w:rFonts w:ascii="Arial" w:hAnsi="Arial" w:cs="Arial"/>
        </w:rPr>
      </w:pPr>
      <w:r w:rsidRPr="00707D33">
        <w:rPr>
          <w:rFonts w:ascii="Arial" w:hAnsi="Arial" w:cs="Arial"/>
          <w:b/>
          <w:bCs/>
        </w:rPr>
        <w:t>[HCD] </w:t>
      </w:r>
      <w:r w:rsidRPr="00707D33">
        <w:rPr>
          <w:rFonts w:ascii="Arial" w:hAnsi="Arial" w:cs="Arial"/>
        </w:rPr>
        <w:t>The mandatory provisions of </w:t>
      </w:r>
      <w:r w:rsidRPr="00196688">
        <w:rPr>
          <w:rFonts w:ascii="Arial" w:hAnsi="Arial" w:cs="Arial"/>
        </w:rPr>
        <w:t>Chapter 4</w:t>
      </w:r>
      <w:r w:rsidRPr="00707D33">
        <w:rPr>
          <w:rFonts w:ascii="Arial" w:hAnsi="Arial" w:cs="Arial"/>
        </w:rPr>
        <w:t> shall be applied to additions or alterations of existing residential buildings where the addition or alteration increases the building’s conditioned area, volume or size. The requirements shall apply only to and/or within the specific area of the addition or alteration.</w:t>
      </w:r>
    </w:p>
    <w:p w14:paraId="37D57B4D" w14:textId="299A2601" w:rsidR="00707D33" w:rsidRDefault="00707D33" w:rsidP="00707D33">
      <w:pPr>
        <w:rPr>
          <w:rFonts w:ascii="Arial" w:hAnsi="Arial" w:cs="Arial"/>
        </w:rPr>
      </w:pPr>
      <w:r w:rsidRPr="00707D33">
        <w:rPr>
          <w:rFonts w:ascii="Arial" w:hAnsi="Arial" w:cs="Arial"/>
        </w:rPr>
        <w:t>The mandatory provisions of </w:t>
      </w:r>
      <w:r w:rsidRPr="00196688">
        <w:rPr>
          <w:rFonts w:ascii="Arial" w:hAnsi="Arial" w:cs="Arial"/>
        </w:rPr>
        <w:t>Section 4.106.4.2</w:t>
      </w:r>
      <w:r w:rsidRPr="00707D33">
        <w:rPr>
          <w:rFonts w:ascii="Arial" w:hAnsi="Arial" w:cs="Arial"/>
        </w:rPr>
        <w:t> may apply to additions or alterations of existing parking facilities or the addition of new parking facilities serving existing multifamily buildings. See </w:t>
      </w:r>
      <w:r w:rsidRPr="00196688">
        <w:rPr>
          <w:rFonts w:ascii="Arial" w:hAnsi="Arial" w:cs="Arial"/>
        </w:rPr>
        <w:t>Section 4.106.4.3</w:t>
      </w:r>
      <w:r w:rsidRPr="00707D33">
        <w:rPr>
          <w:rFonts w:ascii="Arial" w:hAnsi="Arial" w:cs="Arial"/>
        </w:rPr>
        <w:t> for application.</w:t>
      </w:r>
    </w:p>
    <w:p w14:paraId="149584A9" w14:textId="77777777" w:rsidR="000C33D9" w:rsidRPr="00707D33" w:rsidRDefault="000C33D9" w:rsidP="000C33D9">
      <w:pPr>
        <w:ind w:left="720"/>
        <w:rPr>
          <w:rFonts w:ascii="Arial" w:hAnsi="Arial" w:cs="Arial"/>
        </w:rPr>
      </w:pPr>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p>
    <w:p w14:paraId="08894129" w14:textId="77777777" w:rsidR="000C33D9" w:rsidRDefault="000C33D9" w:rsidP="00707D33">
      <w:pPr>
        <w:rPr>
          <w:rFonts w:ascii="Arial" w:hAnsi="Arial" w:cs="Arial"/>
        </w:rPr>
      </w:pPr>
    </w:p>
    <w:p w14:paraId="60F830C4" w14:textId="77777777" w:rsidR="00E21DE0" w:rsidRDefault="00E21DE0" w:rsidP="00217F6B">
      <w:pPr>
        <w:rPr>
          <w:rFonts w:ascii="Arial" w:hAnsi="Arial" w:cs="Arial"/>
          <w:b/>
          <w:bCs/>
        </w:rPr>
      </w:pPr>
    </w:p>
    <w:p w14:paraId="3A70C385" w14:textId="5B3D7D2E" w:rsidR="00FC1386" w:rsidRPr="00374104" w:rsidRDefault="00217F6B" w:rsidP="00217F6B">
      <w:pPr>
        <w:rPr>
          <w:rFonts w:ascii="Arial" w:hAnsi="Arial" w:cs="Arial"/>
          <w:b/>
          <w:bCs/>
        </w:rPr>
      </w:pPr>
      <w:r w:rsidRPr="00374104">
        <w:rPr>
          <w:rFonts w:ascii="Arial" w:hAnsi="Arial" w:cs="Arial"/>
          <w:b/>
          <w:bCs/>
        </w:rPr>
        <w:t>301.3 Nonresidential additions and alterations.</w:t>
      </w:r>
    </w:p>
    <w:p w14:paraId="7EF97A48" w14:textId="77777777" w:rsidR="00A17C54" w:rsidRPr="00374104" w:rsidRDefault="00A17C54" w:rsidP="00A17C54">
      <w:pPr>
        <w:rPr>
          <w:rFonts w:ascii="Arial" w:hAnsi="Arial" w:cs="Arial"/>
        </w:rPr>
      </w:pPr>
      <w:r w:rsidRPr="00374104">
        <w:rPr>
          <w:rFonts w:ascii="Arial" w:hAnsi="Arial" w:cs="Arial"/>
          <w:b/>
          <w:bCs/>
        </w:rPr>
        <w:t>[BSC-CG]</w:t>
      </w:r>
      <w:r w:rsidRPr="00374104">
        <w:rPr>
          <w:rFonts w:ascii="Arial" w:hAnsi="Arial" w:cs="Arial"/>
        </w:rPr>
        <w:t xml:space="preserve"> The provisions of individual sections of Chapter 5 apply to newly constructed buildings, building additions of 1,000 square feet or greater, and/or building alterations with a permit valuation of $200,000 or above (for occupancies within the authority of California Building Standards Commission). Code sections relevant to additions and alterations shall only apply to the portions of the building being added or altered within the scope of the permitted work.</w:t>
      </w:r>
    </w:p>
    <w:p w14:paraId="7989BF81" w14:textId="77777777" w:rsidR="00A17C54" w:rsidRPr="00374104" w:rsidRDefault="00A17C54" w:rsidP="00A17C54">
      <w:pPr>
        <w:rPr>
          <w:rFonts w:ascii="Arial" w:hAnsi="Arial" w:cs="Arial"/>
        </w:rPr>
      </w:pPr>
      <w:r w:rsidRPr="00374104">
        <w:rPr>
          <w:rFonts w:ascii="Arial" w:hAnsi="Arial" w:cs="Arial"/>
        </w:rPr>
        <w:t xml:space="preserve">A code section will be designated by a banner to indicate where the code section only applies to newly constructed buildings </w:t>
      </w:r>
      <w:r w:rsidRPr="00374104">
        <w:rPr>
          <w:rFonts w:ascii="Arial" w:hAnsi="Arial" w:cs="Arial"/>
          <w:b/>
          <w:bCs/>
        </w:rPr>
        <w:t xml:space="preserve">[N] </w:t>
      </w:r>
      <w:r w:rsidRPr="00374104">
        <w:rPr>
          <w:rFonts w:ascii="Arial" w:hAnsi="Arial" w:cs="Arial"/>
        </w:rPr>
        <w:t xml:space="preserve">or to additions and/or alterations </w:t>
      </w:r>
      <w:r w:rsidRPr="00374104">
        <w:rPr>
          <w:rFonts w:ascii="Arial" w:hAnsi="Arial" w:cs="Arial"/>
          <w:b/>
          <w:bCs/>
        </w:rPr>
        <w:t>[A].</w:t>
      </w:r>
      <w:r w:rsidRPr="00374104">
        <w:rPr>
          <w:rFonts w:ascii="Arial" w:hAnsi="Arial" w:cs="Arial"/>
        </w:rPr>
        <w:t xml:space="preserve"> When the code section applies to both, no banner will be used.</w:t>
      </w:r>
    </w:p>
    <w:p w14:paraId="2E29302C" w14:textId="1A2A9F52" w:rsidR="0043685A" w:rsidRPr="00517DE2" w:rsidRDefault="3BA5BA76" w:rsidP="00A17C54">
      <w:pPr>
        <w:rPr>
          <w:rFonts w:ascii="Arial" w:hAnsi="Arial" w:cs="Arial"/>
          <w:u w:val="single"/>
        </w:rPr>
      </w:pPr>
      <w:r w:rsidRPr="299C6957">
        <w:rPr>
          <w:rFonts w:ascii="Arial" w:hAnsi="Arial" w:cs="Arial"/>
          <w:u w:val="single"/>
        </w:rPr>
        <w:t xml:space="preserve">The mandatory </w:t>
      </w:r>
      <w:r w:rsidRPr="00196688">
        <w:rPr>
          <w:rFonts w:ascii="Arial" w:hAnsi="Arial" w:cs="Arial"/>
          <w:u w:val="single"/>
        </w:rPr>
        <w:t xml:space="preserve">provisions of Section </w:t>
      </w:r>
      <w:r w:rsidR="0DD61B0D" w:rsidRPr="00196688">
        <w:rPr>
          <w:rFonts w:ascii="Arial" w:hAnsi="Arial" w:cs="Arial"/>
          <w:u w:val="single"/>
        </w:rPr>
        <w:t>5</w:t>
      </w:r>
      <w:r w:rsidRPr="00196688">
        <w:rPr>
          <w:rFonts w:ascii="Arial" w:hAnsi="Arial" w:cs="Arial"/>
          <w:u w:val="single"/>
        </w:rPr>
        <w:t>.106.</w:t>
      </w:r>
      <w:r w:rsidR="0DD61B0D"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3</w:t>
      </w:r>
      <w:r w:rsidRPr="00196688">
        <w:rPr>
          <w:rFonts w:ascii="Arial" w:hAnsi="Arial" w:cs="Arial"/>
          <w:u w:val="single"/>
        </w:rPr>
        <w:t xml:space="preserve"> may apply to additions or alterations of existing parking facilities or the addition of new parking facilities serving existing </w:t>
      </w:r>
      <w:r w:rsidR="33C06315" w:rsidRPr="00196688">
        <w:rPr>
          <w:rFonts w:ascii="Arial" w:hAnsi="Arial" w:cs="Arial"/>
          <w:u w:val="single"/>
        </w:rPr>
        <w:t>nonresidential</w:t>
      </w:r>
      <w:r w:rsidRPr="00196688">
        <w:rPr>
          <w:rFonts w:ascii="Arial" w:hAnsi="Arial" w:cs="Arial"/>
          <w:u w:val="single"/>
        </w:rPr>
        <w:t xml:space="preserve"> buildings. See Section </w:t>
      </w:r>
      <w:r w:rsidR="33C06315" w:rsidRPr="00196688">
        <w:rPr>
          <w:rFonts w:ascii="Arial" w:hAnsi="Arial" w:cs="Arial"/>
          <w:u w:val="single"/>
        </w:rPr>
        <w:t>5</w:t>
      </w:r>
      <w:r w:rsidRPr="00196688">
        <w:rPr>
          <w:rFonts w:ascii="Arial" w:hAnsi="Arial" w:cs="Arial"/>
          <w:u w:val="single"/>
        </w:rPr>
        <w:t>.106.</w:t>
      </w:r>
      <w:r w:rsidR="33C06315"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4</w:t>
      </w:r>
      <w:r w:rsidRPr="299C6957">
        <w:rPr>
          <w:rFonts w:ascii="Arial" w:hAnsi="Arial" w:cs="Arial"/>
          <w:u w:val="single"/>
        </w:rPr>
        <w:t> for application.</w:t>
      </w:r>
    </w:p>
    <w:p w14:paraId="13E802EE" w14:textId="77777777" w:rsidR="00707D33" w:rsidRPr="00707D33" w:rsidRDefault="00707D33" w:rsidP="00A01E92">
      <w:pPr>
        <w:ind w:left="720"/>
        <w:rPr>
          <w:rFonts w:ascii="Arial" w:hAnsi="Arial" w:cs="Arial"/>
        </w:rPr>
      </w:pPr>
      <w:commentRangeStart w:id="0"/>
      <w:commentRangeStart w:id="1"/>
      <w:commentRangeStart w:id="2"/>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commentRangeEnd w:id="0"/>
      <w:r>
        <w:rPr>
          <w:rStyle w:val="CommentReference"/>
        </w:rPr>
        <w:commentReference w:id="0"/>
      </w:r>
      <w:commentRangeEnd w:id="1"/>
      <w:r>
        <w:rPr>
          <w:rStyle w:val="CommentReference"/>
        </w:rPr>
        <w:commentReference w:id="1"/>
      </w:r>
      <w:commentRangeEnd w:id="2"/>
      <w:r w:rsidR="00852844">
        <w:rPr>
          <w:rStyle w:val="CommentReference"/>
        </w:rPr>
        <w:commentReference w:id="2"/>
      </w:r>
    </w:p>
    <w:p w14:paraId="0FE29F47" w14:textId="46C522A7" w:rsidR="00702445" w:rsidRPr="00F9057B" w:rsidRDefault="00702445" w:rsidP="00702445">
      <w:pPr>
        <w:rPr>
          <w:rFonts w:ascii="Arial" w:hAnsi="Arial" w:cs="Arial"/>
        </w:rPr>
        <w:sectPr w:rsidR="00702445" w:rsidRPr="00F9057B" w:rsidSect="003545CD">
          <w:pgSz w:w="12240" w:h="15840"/>
          <w:pgMar w:top="1440" w:right="1440" w:bottom="1440" w:left="1440" w:header="720" w:footer="720" w:gutter="0"/>
          <w:cols w:space="720"/>
          <w:docGrid w:linePitch="360"/>
        </w:sectPr>
      </w:pPr>
    </w:p>
    <w:p w14:paraId="62058E32" w14:textId="58A7D783" w:rsidR="006D6244" w:rsidRPr="00F9057B" w:rsidRDefault="006D6244" w:rsidP="00132350">
      <w:pPr>
        <w:pStyle w:val="Heading1"/>
        <w:rPr>
          <w:rFonts w:ascii="Arial" w:hAnsi="Arial" w:cs="Arial"/>
        </w:rPr>
      </w:pPr>
      <w:r w:rsidRPr="00F9057B">
        <w:rPr>
          <w:rFonts w:ascii="Arial" w:hAnsi="Arial" w:cs="Arial"/>
        </w:rPr>
        <w:lastRenderedPageBreak/>
        <w:t>Chapter 4</w:t>
      </w:r>
      <w:r w:rsidR="006673A6" w:rsidRPr="00F9057B">
        <w:rPr>
          <w:rFonts w:ascii="Arial" w:hAnsi="Arial" w:cs="Arial"/>
        </w:rPr>
        <w:t xml:space="preserve"> – Res</w:t>
      </w:r>
      <w:r w:rsidR="00132350" w:rsidRPr="00F9057B">
        <w:rPr>
          <w:rFonts w:ascii="Arial" w:hAnsi="Arial" w:cs="Arial"/>
        </w:rPr>
        <w:t>idential Mandatory Measures</w:t>
      </w:r>
    </w:p>
    <w:p w14:paraId="2B2D5D5D" w14:textId="77777777" w:rsidR="00132350" w:rsidRPr="00F9057B" w:rsidRDefault="00132350" w:rsidP="00132350">
      <w:pPr>
        <w:rPr>
          <w:rFonts w:ascii="Arial" w:hAnsi="Arial" w:cs="Arial"/>
        </w:rPr>
      </w:pPr>
    </w:p>
    <w:p w14:paraId="68175042" w14:textId="760CBEED" w:rsidR="00803ACE" w:rsidRPr="00803ACE" w:rsidRDefault="00803ACE" w:rsidP="00803ACE">
      <w:pPr>
        <w:rPr>
          <w:rFonts w:ascii="Arial" w:hAnsi="Arial" w:cs="Arial"/>
          <w:b/>
          <w:bCs/>
        </w:rPr>
      </w:pPr>
      <w:r w:rsidRPr="00803ACE">
        <w:rPr>
          <w:rFonts w:ascii="Arial" w:hAnsi="Arial" w:cs="Arial"/>
          <w:b/>
          <w:bCs/>
        </w:rPr>
        <w:t>4.106.4 Electric vehicle (EV) charging for new construction.</w:t>
      </w:r>
    </w:p>
    <w:p w14:paraId="616EDCCD" w14:textId="0FAAE36E" w:rsidR="00803ACE" w:rsidRPr="00803ACE" w:rsidRDefault="4F6C8111" w:rsidP="00803ACE">
      <w:pPr>
        <w:rPr>
          <w:rFonts w:ascii="Arial" w:hAnsi="Arial" w:cs="Arial"/>
        </w:rPr>
      </w:pPr>
      <w:r w:rsidRPr="299C6957">
        <w:rPr>
          <w:rFonts w:ascii="Arial" w:hAnsi="Arial" w:cs="Arial"/>
        </w:rPr>
        <w:t>New construction shall comply with </w:t>
      </w:r>
      <w:r w:rsidRPr="00196688">
        <w:rPr>
          <w:rFonts w:ascii="Arial" w:hAnsi="Arial" w:cs="Arial"/>
        </w:rPr>
        <w:t>Section 4.106.4.1</w:t>
      </w:r>
      <w:r w:rsidRPr="299C6957">
        <w:rPr>
          <w:rFonts w:ascii="Arial" w:hAnsi="Arial" w:cs="Arial"/>
        </w:rPr>
        <w:t> or </w:t>
      </w:r>
      <w:r w:rsidRPr="00196688">
        <w:rPr>
          <w:rFonts w:ascii="Arial" w:hAnsi="Arial" w:cs="Arial"/>
        </w:rPr>
        <w:t>4.106.4.2</w:t>
      </w:r>
      <w:r w:rsidRPr="299C6957">
        <w:rPr>
          <w:rFonts w:ascii="Arial" w:hAnsi="Arial" w:cs="Arial"/>
        </w:rPr>
        <w:t>. Electric vehicle supply equipment (EVSE) shall comply with the </w:t>
      </w:r>
      <w:hyperlink r:id="rId17">
        <w:r w:rsidRPr="299C6957">
          <w:rPr>
            <w:rStyle w:val="Hyperlink"/>
            <w:rFonts w:ascii="Arial" w:hAnsi="Arial" w:cs="Arial"/>
            <w:i/>
            <w:iCs/>
          </w:rPr>
          <w:t>California Electrical Code</w:t>
        </w:r>
      </w:hyperlink>
      <w:r w:rsidRPr="299C6957">
        <w:rPr>
          <w:rFonts w:ascii="Arial" w:hAnsi="Arial" w:cs="Arial"/>
        </w:rPr>
        <w:t>.</w:t>
      </w:r>
    </w:p>
    <w:p w14:paraId="751982BB" w14:textId="77777777" w:rsidR="00803ACE" w:rsidRPr="00803ACE" w:rsidRDefault="00803ACE" w:rsidP="00803ACE">
      <w:pPr>
        <w:ind w:left="360"/>
        <w:rPr>
          <w:rFonts w:ascii="Arial" w:hAnsi="Arial" w:cs="Arial"/>
        </w:rPr>
      </w:pPr>
      <w:r w:rsidRPr="00803ACE">
        <w:rPr>
          <w:rFonts w:ascii="Arial" w:hAnsi="Arial" w:cs="Arial"/>
          <w:b/>
          <w:bCs/>
        </w:rPr>
        <w:t>Exceptions:</w:t>
      </w:r>
    </w:p>
    <w:p w14:paraId="6EB92D1A" w14:textId="51C83126" w:rsidR="00803ACE" w:rsidRPr="00F9057B" w:rsidRDefault="00803ACE" w:rsidP="00803ACE">
      <w:pPr>
        <w:pStyle w:val="ListParagraph"/>
        <w:numPr>
          <w:ilvl w:val="0"/>
          <w:numId w:val="1"/>
        </w:numPr>
        <w:rPr>
          <w:rFonts w:ascii="Arial" w:hAnsi="Arial" w:cs="Arial"/>
        </w:rPr>
      </w:pPr>
      <w:r w:rsidRPr="00F9057B">
        <w:rPr>
          <w:rFonts w:ascii="Arial" w:hAnsi="Arial" w:cs="Arial"/>
        </w:rPr>
        <w:t>On a case-by-case basis, where the local enforcing agency has determined EV charging and infrastructure are not feasible based upon one or more of the following conditions:</w:t>
      </w:r>
    </w:p>
    <w:p w14:paraId="5104314F" w14:textId="27A4B7EA" w:rsidR="00803ACE" w:rsidRPr="00F9057B" w:rsidRDefault="00803ACE" w:rsidP="00803ACE">
      <w:pPr>
        <w:pStyle w:val="ListParagraph"/>
        <w:numPr>
          <w:ilvl w:val="1"/>
          <w:numId w:val="6"/>
        </w:numPr>
        <w:rPr>
          <w:rFonts w:ascii="Arial" w:hAnsi="Arial" w:cs="Arial"/>
        </w:rPr>
      </w:pPr>
      <w:r w:rsidRPr="00F9057B">
        <w:rPr>
          <w:rFonts w:ascii="Arial" w:hAnsi="Arial" w:cs="Arial"/>
        </w:rPr>
        <w:t>Where there is no local utility power supply or the local utility is unable to supply adequate power.</w:t>
      </w:r>
    </w:p>
    <w:p w14:paraId="28E48F13" w14:textId="1F5AB281" w:rsidR="00803ACE" w:rsidRPr="00C75515" w:rsidRDefault="00803ACE" w:rsidP="00803ACE">
      <w:pPr>
        <w:pStyle w:val="ListParagraph"/>
        <w:numPr>
          <w:ilvl w:val="1"/>
          <w:numId w:val="6"/>
        </w:numPr>
        <w:rPr>
          <w:rFonts w:ascii="Arial" w:hAnsi="Arial" w:cs="Arial"/>
          <w:strike/>
        </w:rPr>
      </w:pPr>
      <w:r w:rsidRPr="00F9057B">
        <w:rPr>
          <w:rFonts w:ascii="Arial" w:hAnsi="Arial" w:cs="Arial"/>
        </w:rPr>
        <w:t>Where there is evidence suitable to the local enforcing agency substantiating that additional local utility infrastructure design requirements, directly related to the implementation of </w:t>
      </w:r>
      <w:r w:rsidRPr="00196688">
        <w:rPr>
          <w:rFonts w:ascii="Arial" w:hAnsi="Arial" w:cs="Arial"/>
        </w:rPr>
        <w:t>Section 4.106.4</w:t>
      </w:r>
      <w:r w:rsidRPr="00F9057B">
        <w:rPr>
          <w:rFonts w:ascii="Arial" w:hAnsi="Arial" w:cs="Arial"/>
        </w:rPr>
        <w:t xml:space="preserve">, may </w:t>
      </w:r>
      <w:r w:rsidR="00C75515" w:rsidRPr="00C75515">
        <w:rPr>
          <w:rFonts w:ascii="Arial" w:hAnsi="Arial" w:cs="Arial"/>
          <w:u w:val="single"/>
        </w:rPr>
        <w:t>increase construction cost by an average of $4,500 per parking space for market rate housing or $400 per parking space for affordable housing. EV infrastructure shall be provided up to the level that would not exceed this cost for utility service.</w:t>
      </w:r>
      <w:r w:rsidR="00C75515">
        <w:rPr>
          <w:rFonts w:ascii="Arial" w:hAnsi="Arial" w:cs="Arial"/>
        </w:rPr>
        <w:t xml:space="preserve"> </w:t>
      </w:r>
      <w:r w:rsidRPr="00C75515">
        <w:rPr>
          <w:rFonts w:ascii="Arial" w:hAnsi="Arial" w:cs="Arial"/>
          <w:strike/>
        </w:rPr>
        <w:t>adversely impact the construction cost of the project.</w:t>
      </w:r>
    </w:p>
    <w:p w14:paraId="63518A8A" w14:textId="1EFDF5BD" w:rsidR="00803ACE" w:rsidRDefault="00803ACE" w:rsidP="00050A47">
      <w:pPr>
        <w:numPr>
          <w:ilvl w:val="0"/>
          <w:numId w:val="1"/>
        </w:numPr>
        <w:tabs>
          <w:tab w:val="clear" w:pos="720"/>
          <w:tab w:val="num" w:pos="1440"/>
        </w:tabs>
        <w:rPr>
          <w:rFonts w:ascii="Arial" w:hAnsi="Arial" w:cs="Arial"/>
        </w:rPr>
      </w:pPr>
      <w:r w:rsidRPr="00803ACE">
        <w:rPr>
          <w:rFonts w:ascii="Arial" w:hAnsi="Arial" w:cs="Arial"/>
        </w:rPr>
        <w:t>Accessory Dwelling Units (ADU) and Junior Accessory Dwelling Units (JADU) without additional parking facilities</w:t>
      </w:r>
      <w:r w:rsidR="0074286D" w:rsidRPr="0074286D">
        <w:t xml:space="preserve"> </w:t>
      </w:r>
      <w:r w:rsidR="0074286D" w:rsidRPr="0074286D">
        <w:rPr>
          <w:rFonts w:ascii="Arial" w:hAnsi="Arial" w:cs="Arial"/>
          <w:u w:val="single"/>
        </w:rPr>
        <w:t>and without electrical panel upgrade or new panel installation. Detached ADUs, attached ADUs, and JADUs without additional parking but with electrical panel upgrades or new panels must have reserved breakers and electrical capacity according to the requirements of 4.106.4.1</w:t>
      </w:r>
      <w:r w:rsidRPr="00803ACE">
        <w:rPr>
          <w:rFonts w:ascii="Arial" w:hAnsi="Arial" w:cs="Arial"/>
        </w:rPr>
        <w:t>.</w:t>
      </w:r>
      <w:r w:rsidR="0074286D">
        <w:rPr>
          <w:rFonts w:ascii="Arial" w:hAnsi="Arial" w:cs="Arial"/>
        </w:rPr>
        <w:t xml:space="preserve"> </w:t>
      </w:r>
    </w:p>
    <w:p w14:paraId="7DA76369" w14:textId="77777777" w:rsidR="00803ACE" w:rsidRPr="00F9057B" w:rsidRDefault="00803ACE" w:rsidP="00803ACE">
      <w:pPr>
        <w:rPr>
          <w:rFonts w:ascii="Arial" w:hAnsi="Arial" w:cs="Arial"/>
          <w:b/>
          <w:bCs/>
        </w:rPr>
      </w:pPr>
    </w:p>
    <w:p w14:paraId="1936CEBF" w14:textId="2DDE6EFA" w:rsidR="00803ACE" w:rsidRPr="00803ACE" w:rsidRDefault="4F6C8111" w:rsidP="000E1B43">
      <w:pPr>
        <w:ind w:left="360"/>
        <w:rPr>
          <w:rFonts w:ascii="Arial" w:hAnsi="Arial" w:cs="Arial"/>
          <w:b/>
          <w:bCs/>
        </w:rPr>
      </w:pPr>
      <w:r w:rsidRPr="299C6957">
        <w:rPr>
          <w:rFonts w:ascii="Arial" w:hAnsi="Arial" w:cs="Arial"/>
          <w:b/>
          <w:bCs/>
        </w:rPr>
        <w:t>4.106.4.1 </w:t>
      </w:r>
      <w:r w:rsidRPr="299C6957">
        <w:rPr>
          <w:rFonts w:ascii="Arial" w:hAnsi="Arial" w:cs="Arial"/>
          <w:b/>
          <w:bCs/>
          <w:strike/>
        </w:rPr>
        <w:t xml:space="preserve">New </w:t>
      </w:r>
      <w:proofErr w:type="spellStart"/>
      <w:r w:rsidRPr="299C6957">
        <w:rPr>
          <w:rFonts w:ascii="Arial" w:hAnsi="Arial" w:cs="Arial"/>
          <w:b/>
          <w:bCs/>
          <w:strike/>
        </w:rPr>
        <w:t>o</w:t>
      </w:r>
      <w:r w:rsidR="176529DE" w:rsidRPr="299C6957">
        <w:rPr>
          <w:rFonts w:ascii="Arial" w:hAnsi="Arial" w:cs="Arial"/>
          <w:b/>
          <w:bCs/>
        </w:rPr>
        <w:t>O</w:t>
      </w:r>
      <w:r w:rsidRPr="299C6957">
        <w:rPr>
          <w:rFonts w:ascii="Arial" w:hAnsi="Arial" w:cs="Arial"/>
          <w:b/>
          <w:bCs/>
        </w:rPr>
        <w:t>ne</w:t>
      </w:r>
      <w:proofErr w:type="spellEnd"/>
      <w:r w:rsidRPr="299C6957">
        <w:rPr>
          <w:rFonts w:ascii="Arial" w:hAnsi="Arial" w:cs="Arial"/>
          <w:b/>
          <w:bCs/>
        </w:rPr>
        <w:t>- and two-family dwellings and townhouses with attached private garages.</w:t>
      </w:r>
    </w:p>
    <w:p w14:paraId="66A62EB4" w14:textId="630F2BA7" w:rsidR="00803ACE" w:rsidRPr="00803ACE" w:rsidRDefault="005B30A7" w:rsidP="000E1B43">
      <w:pPr>
        <w:ind w:left="360"/>
        <w:rPr>
          <w:rFonts w:ascii="Arial" w:hAnsi="Arial" w:cs="Arial"/>
          <w:strike/>
        </w:rPr>
      </w:pPr>
      <w:r w:rsidRPr="0084770C">
        <w:rPr>
          <w:rFonts w:ascii="Arial" w:hAnsi="Arial" w:cs="Arial"/>
          <w:b/>
          <w:bCs/>
          <w:u w:val="single"/>
        </w:rPr>
        <w:t>4.106.4.1.1. New Construction.</w:t>
      </w:r>
      <w:r w:rsidRPr="0084770C">
        <w:rPr>
          <w:rFonts w:ascii="Arial" w:hAnsi="Arial" w:cs="Arial"/>
          <w:u w:val="single"/>
        </w:rPr>
        <w:t xml:space="preserve"> </w:t>
      </w:r>
      <w:r w:rsidR="00C9308F">
        <w:rPr>
          <w:rFonts w:ascii="Arial" w:hAnsi="Arial" w:cs="Arial"/>
          <w:u w:val="single"/>
        </w:rPr>
        <w:t xml:space="preserve">Install one Level 2 EV Charging Receptacle in one parking </w:t>
      </w:r>
      <w:r w:rsidR="00C9308F" w:rsidRPr="00050A47">
        <w:rPr>
          <w:rFonts w:ascii="Arial" w:hAnsi="Arial" w:cs="Arial"/>
          <w:u w:val="single"/>
        </w:rPr>
        <w:t xml:space="preserve">space. </w:t>
      </w:r>
      <w:r w:rsidR="00BA7694" w:rsidRPr="00050A47">
        <w:rPr>
          <w:rFonts w:ascii="Arial" w:hAnsi="Arial" w:cs="Arial"/>
          <w:u w:val="single"/>
        </w:rPr>
        <w:t xml:space="preserve">If a second parking space is provided, it shall be provided with a Level 1 EV </w:t>
      </w:r>
      <w:r w:rsidR="001329C0" w:rsidRPr="00050A47">
        <w:rPr>
          <w:rFonts w:ascii="Arial" w:hAnsi="Arial" w:cs="Arial"/>
          <w:u w:val="single"/>
        </w:rPr>
        <w:t>Charging Receptacle</w:t>
      </w:r>
      <w:r w:rsidR="00050A47">
        <w:rPr>
          <w:rFonts w:ascii="Arial" w:hAnsi="Arial" w:cs="Arial"/>
          <w:u w:val="single"/>
        </w:rPr>
        <w:t xml:space="preserve"> and</w:t>
      </w:r>
      <w:r w:rsidR="00BA7694" w:rsidRPr="00050A47">
        <w:rPr>
          <w:rFonts w:ascii="Arial" w:hAnsi="Arial" w:cs="Arial"/>
        </w:rPr>
        <w:t xml:space="preserve"> </w:t>
      </w:r>
      <w:r w:rsidR="00803ACE" w:rsidRPr="00050A47">
        <w:rPr>
          <w:rFonts w:ascii="Arial" w:hAnsi="Arial" w:cs="Arial"/>
          <w:strike/>
        </w:rPr>
        <w:t xml:space="preserve">For each dwelling unit, </w:t>
      </w:r>
      <w:r w:rsidR="00803ACE" w:rsidRPr="0086240A">
        <w:rPr>
          <w:rFonts w:ascii="Arial" w:hAnsi="Arial" w:cs="Arial"/>
          <w:strike/>
        </w:rPr>
        <w:t>install</w:t>
      </w:r>
      <w:r w:rsidR="00803ACE" w:rsidRPr="0086240A">
        <w:rPr>
          <w:rFonts w:ascii="Arial" w:hAnsi="Arial" w:cs="Arial"/>
        </w:rPr>
        <w:t xml:space="preserve"> a listed raceway to accommodate a dedicated 208/240-volt branch circuit. The raceway shall not be less than trade size 1 (nominal 1-inch inside diameter).</w:t>
      </w:r>
      <w:r w:rsidR="00803ACE" w:rsidRPr="00803ACE">
        <w:rPr>
          <w:rFonts w:ascii="Arial" w:hAnsi="Arial" w:cs="Arial"/>
          <w:strike/>
        </w:rPr>
        <w:t xml:space="preserve"> The raceway shall originate at the main service or subpanel and shall terminate into a listed cabinet, box or other enclosure in close proximity to the proposed location of an EV charger. Raceways are required to be continuous at enclosed, inaccessible or concealed areas and spaces. The service panel and/or subpanel shall provide capacity to install a 40-ampere 208/240-volt minimum dedicated branch circuit and space(s) reserved to permit installation of a branch circuit overcurrent protective device.</w:t>
      </w:r>
    </w:p>
    <w:p w14:paraId="105AADDF" w14:textId="77777777" w:rsidR="00803ACE" w:rsidRPr="00803ACE" w:rsidRDefault="00803ACE" w:rsidP="000E1B43">
      <w:pPr>
        <w:ind w:left="720"/>
        <w:rPr>
          <w:rFonts w:ascii="Arial" w:hAnsi="Arial" w:cs="Arial"/>
          <w:strike/>
        </w:rPr>
      </w:pPr>
      <w:r w:rsidRPr="00803ACE">
        <w:rPr>
          <w:rFonts w:ascii="Arial" w:hAnsi="Arial" w:cs="Arial"/>
          <w:b/>
          <w:bCs/>
          <w:strike/>
        </w:rPr>
        <w:t>Exception: </w:t>
      </w:r>
      <w:r w:rsidRPr="00803ACE">
        <w:rPr>
          <w:rFonts w:ascii="Arial" w:hAnsi="Arial" w:cs="Arial"/>
          <w:strike/>
        </w:rPr>
        <w:t>A raceway is not required if a minimum 40-ampere 208/240-volt dedicated EV branch circuit is installed in close proximity to the proposed location of an EV charger at the time of original construction in accordance with the </w:t>
      </w:r>
      <w:hyperlink r:id="rId18" w:history="1">
        <w:r w:rsidRPr="00803ACE">
          <w:rPr>
            <w:rStyle w:val="Hyperlink"/>
            <w:rFonts w:ascii="Arial" w:hAnsi="Arial" w:cs="Arial"/>
            <w:i/>
            <w:iCs/>
            <w:strike/>
          </w:rPr>
          <w:t>California Electrical Code</w:t>
        </w:r>
      </w:hyperlink>
      <w:r w:rsidRPr="00803ACE">
        <w:rPr>
          <w:rFonts w:ascii="Arial" w:hAnsi="Arial" w:cs="Arial"/>
          <w:strike/>
        </w:rPr>
        <w:t>.</w:t>
      </w:r>
    </w:p>
    <w:p w14:paraId="01CD0EDF" w14:textId="08816A17" w:rsidR="00803ACE" w:rsidRPr="00803ACE" w:rsidRDefault="00803ACE" w:rsidP="00803ACE">
      <w:pPr>
        <w:rPr>
          <w:rFonts w:ascii="Arial" w:hAnsi="Arial" w:cs="Arial"/>
        </w:rPr>
      </w:pPr>
    </w:p>
    <w:p w14:paraId="32C01FBC" w14:textId="77777777" w:rsidR="00803ACE" w:rsidRPr="00803ACE" w:rsidRDefault="00803ACE" w:rsidP="000E1B43">
      <w:pPr>
        <w:ind w:left="720"/>
        <w:rPr>
          <w:rFonts w:ascii="Arial" w:hAnsi="Arial" w:cs="Arial"/>
          <w:b/>
          <w:bCs/>
          <w:strike/>
        </w:rPr>
      </w:pPr>
      <w:r w:rsidRPr="00803ACE">
        <w:rPr>
          <w:rFonts w:ascii="Arial" w:hAnsi="Arial" w:cs="Arial"/>
          <w:b/>
          <w:bCs/>
          <w:strike/>
        </w:rPr>
        <w:lastRenderedPageBreak/>
        <w:t>4.106.4.1.1 Identification.</w:t>
      </w:r>
    </w:p>
    <w:p w14:paraId="0F8E34E9" w14:textId="77777777" w:rsidR="00803ACE" w:rsidRDefault="00803ACE" w:rsidP="000E1B43">
      <w:pPr>
        <w:ind w:left="720"/>
        <w:rPr>
          <w:rFonts w:ascii="Arial" w:hAnsi="Arial" w:cs="Arial"/>
          <w:strike/>
        </w:rPr>
      </w:pPr>
      <w:r w:rsidRPr="00803ACE">
        <w:rPr>
          <w:rFonts w:ascii="Arial" w:hAnsi="Arial" w:cs="Arial"/>
          <w:strike/>
        </w:rPr>
        <w:t>The service panel or subpanel circuit directory shall identify the overcurrent protective device space(s) reserved for future EV charging as “EV CAPABLE”. The raceway termination location shall be permanently and visibly marked as “EV CAPABLE”.</w:t>
      </w:r>
    </w:p>
    <w:p w14:paraId="3E281599" w14:textId="77777777" w:rsidR="00312932" w:rsidRPr="00312932" w:rsidRDefault="00312932" w:rsidP="000E1B43">
      <w:pPr>
        <w:ind w:left="720"/>
        <w:rPr>
          <w:rFonts w:ascii="Arial" w:hAnsi="Arial" w:cs="Arial"/>
          <w:strike/>
        </w:rPr>
      </w:pPr>
    </w:p>
    <w:p w14:paraId="523786A3" w14:textId="3E3F1B00" w:rsidR="00D16FF2" w:rsidRPr="00803ACE" w:rsidRDefault="5096B201" w:rsidP="000E030B">
      <w:pPr>
        <w:ind w:left="360"/>
        <w:rPr>
          <w:rFonts w:ascii="Arial" w:hAnsi="Arial" w:cs="Arial"/>
          <w:u w:val="single"/>
        </w:rPr>
      </w:pPr>
      <w:r w:rsidRPr="299C6957">
        <w:rPr>
          <w:rFonts w:ascii="Arial" w:hAnsi="Arial" w:cs="Arial"/>
          <w:b/>
          <w:bCs/>
          <w:u w:val="single"/>
        </w:rPr>
        <w:t>4.106.4.1.2. Existing Building</w:t>
      </w:r>
      <w:r w:rsidRPr="299C6957">
        <w:rPr>
          <w:rFonts w:ascii="Arial" w:hAnsi="Arial" w:cs="Arial"/>
          <w:u w:val="single"/>
        </w:rPr>
        <w:t xml:space="preserve">. Parking </w:t>
      </w:r>
      <w:r w:rsidR="00555F6C">
        <w:rPr>
          <w:rFonts w:ascii="Arial" w:hAnsi="Arial" w:cs="Arial"/>
          <w:u w:val="single"/>
        </w:rPr>
        <w:t>a</w:t>
      </w:r>
      <w:r w:rsidRPr="299C6957">
        <w:rPr>
          <w:rFonts w:ascii="Arial" w:hAnsi="Arial" w:cs="Arial"/>
          <w:u w:val="single"/>
        </w:rPr>
        <w:t>dditions or electrical panel upgrades must have reserved breaker spaces and electrical capacity according to the requirements of 4.106.4.1.1.</w:t>
      </w:r>
    </w:p>
    <w:p w14:paraId="766A3E29" w14:textId="77777777" w:rsidR="000E1B43" w:rsidRPr="00F9057B" w:rsidRDefault="000E1B43" w:rsidP="000E1B43">
      <w:pPr>
        <w:ind w:left="360"/>
        <w:rPr>
          <w:rFonts w:ascii="Arial" w:hAnsi="Arial" w:cs="Arial"/>
          <w:b/>
          <w:bCs/>
        </w:rPr>
      </w:pPr>
    </w:p>
    <w:p w14:paraId="0DD69A2D" w14:textId="29E94E36" w:rsidR="00803ACE" w:rsidRPr="00803ACE" w:rsidRDefault="00803ACE" w:rsidP="000E1B43">
      <w:pPr>
        <w:ind w:left="360"/>
        <w:rPr>
          <w:rFonts w:ascii="Arial" w:hAnsi="Arial" w:cs="Arial"/>
          <w:b/>
          <w:bCs/>
        </w:rPr>
      </w:pPr>
      <w:r w:rsidRPr="00803ACE">
        <w:rPr>
          <w:rFonts w:ascii="Arial" w:hAnsi="Arial" w:cs="Arial"/>
          <w:b/>
          <w:bCs/>
        </w:rPr>
        <w:t>4.106.4.2 New multifamily dwellings, hotels and motels and new residential parking facilities.</w:t>
      </w:r>
    </w:p>
    <w:p w14:paraId="7CE566F8" w14:textId="1D57EE0F" w:rsidR="00803ACE" w:rsidRPr="00803ACE" w:rsidRDefault="00803ACE" w:rsidP="000E1B43">
      <w:pPr>
        <w:ind w:left="360"/>
        <w:rPr>
          <w:rFonts w:ascii="Arial" w:hAnsi="Arial" w:cs="Arial"/>
        </w:rPr>
      </w:pPr>
      <w:r w:rsidRPr="00803ACE">
        <w:rPr>
          <w:rFonts w:ascii="Arial" w:hAnsi="Arial" w:cs="Arial"/>
        </w:rPr>
        <w:t>When parking is provided, parking spaces for new multifamily dwellings, hotels and motels shall meet the requirements of </w:t>
      </w:r>
      <w:r w:rsidRPr="00196688">
        <w:rPr>
          <w:rFonts w:ascii="Arial" w:hAnsi="Arial" w:cs="Arial"/>
        </w:rPr>
        <w:t>Section 4.106.4.2.2</w:t>
      </w:r>
      <w:r w:rsidRPr="00803ACE">
        <w:rPr>
          <w:rFonts w:ascii="Arial" w:hAnsi="Arial" w:cs="Arial"/>
        </w:rPr>
        <w:t> Calculations for spaces shall be rounded up to the nearest whole number. A parking space served by electric vehicle supply equipment or designed as an EV charging space shall count as at least one standard automobile parking space only for the purpose of complying with any applicable minimum parking space requirements established by a local jurisdiction. See Vehicle Code Section 22511.2 for further details.</w:t>
      </w:r>
    </w:p>
    <w:p w14:paraId="7515B894" w14:textId="77777777" w:rsidR="00803ACE" w:rsidRPr="00F9057B" w:rsidRDefault="00803ACE" w:rsidP="000E1B43">
      <w:pPr>
        <w:rPr>
          <w:rFonts w:ascii="Arial" w:hAnsi="Arial" w:cs="Arial"/>
          <w:b/>
          <w:bCs/>
        </w:rPr>
      </w:pPr>
    </w:p>
    <w:p w14:paraId="719D13F2" w14:textId="418060FE" w:rsidR="00803ACE" w:rsidRPr="00803ACE" w:rsidRDefault="00803ACE" w:rsidP="00803ACE">
      <w:pPr>
        <w:ind w:left="720"/>
        <w:rPr>
          <w:rFonts w:ascii="Arial" w:hAnsi="Arial" w:cs="Arial"/>
          <w:b/>
          <w:bCs/>
        </w:rPr>
      </w:pPr>
      <w:r w:rsidRPr="00803ACE">
        <w:rPr>
          <w:rFonts w:ascii="Arial" w:hAnsi="Arial" w:cs="Arial"/>
          <w:b/>
          <w:bCs/>
        </w:rPr>
        <w:t>4.106.4.2.1</w:t>
      </w:r>
    </w:p>
    <w:p w14:paraId="32132F3D" w14:textId="77777777" w:rsidR="00803ACE" w:rsidRPr="00803ACE" w:rsidRDefault="00803ACE" w:rsidP="00803ACE">
      <w:pPr>
        <w:ind w:left="720"/>
        <w:rPr>
          <w:rFonts w:ascii="Arial" w:hAnsi="Arial" w:cs="Arial"/>
        </w:rPr>
      </w:pPr>
      <w:r w:rsidRPr="00803ACE">
        <w:rPr>
          <w:rFonts w:ascii="Arial" w:hAnsi="Arial" w:cs="Arial"/>
          <w:b/>
          <w:bCs/>
        </w:rPr>
        <w:t>Reserved.</w:t>
      </w:r>
    </w:p>
    <w:p w14:paraId="6A6DDC3A" w14:textId="77777777" w:rsidR="00803ACE" w:rsidRPr="00F9057B" w:rsidRDefault="00803ACE" w:rsidP="00803ACE">
      <w:pPr>
        <w:rPr>
          <w:rFonts w:ascii="Arial" w:hAnsi="Arial" w:cs="Arial"/>
          <w:b/>
          <w:bCs/>
        </w:rPr>
      </w:pPr>
    </w:p>
    <w:p w14:paraId="4DE8921E" w14:textId="0D31EC50" w:rsidR="00803ACE" w:rsidRPr="00803ACE" w:rsidRDefault="0F2639A7" w:rsidP="004C610B">
      <w:pPr>
        <w:numPr>
          <w:ilvl w:val="0"/>
          <w:numId w:val="2"/>
        </w:numPr>
        <w:tabs>
          <w:tab w:val="clear" w:pos="720"/>
          <w:tab w:val="num" w:pos="1800"/>
        </w:tabs>
        <w:ind w:left="1440"/>
        <w:rPr>
          <w:rFonts w:ascii="Arial" w:hAnsi="Arial" w:cs="Arial"/>
          <w:u w:val="single"/>
        </w:rPr>
      </w:pPr>
      <w:r w:rsidRPr="0F2639A7">
        <w:rPr>
          <w:rFonts w:ascii="Arial" w:hAnsi="Arial" w:cs="Arial"/>
          <w:b/>
          <w:bCs/>
        </w:rPr>
        <w:t>4.106.4.2.2 Multifamily dwellings</w:t>
      </w:r>
      <w:r w:rsidRPr="0F2639A7">
        <w:rPr>
          <w:rFonts w:ascii="Arial" w:hAnsi="Arial" w:cs="Arial"/>
          <w:b/>
          <w:bCs/>
          <w:strike/>
        </w:rPr>
        <w:t>, hotels and motels</w:t>
      </w:r>
      <w:r w:rsidRPr="0F2639A7">
        <w:rPr>
          <w:rFonts w:ascii="Arial" w:hAnsi="Arial" w:cs="Arial"/>
          <w:b/>
          <w:bCs/>
        </w:rPr>
        <w:t>.</w:t>
      </w:r>
      <w:r>
        <w:t xml:space="preserve"> </w:t>
      </w:r>
      <w:r w:rsidRPr="0F2639A7">
        <w:rPr>
          <w:rFonts w:ascii="Arial" w:hAnsi="Arial" w:cs="Arial"/>
          <w:b/>
          <w:bCs/>
        </w:rPr>
        <w:t xml:space="preserve">EV ready parking spaces with receptacles. </w:t>
      </w:r>
    </w:p>
    <w:p w14:paraId="6E3A79E3" w14:textId="6B44B0EF" w:rsidR="00803ACE" w:rsidRPr="00E67C0C" w:rsidRDefault="00803ACE" w:rsidP="00E2230E">
      <w:pPr>
        <w:pStyle w:val="ListParagraph"/>
        <w:numPr>
          <w:ilvl w:val="1"/>
          <w:numId w:val="2"/>
        </w:numPr>
        <w:tabs>
          <w:tab w:val="clear" w:pos="1440"/>
          <w:tab w:val="num" w:pos="2520"/>
        </w:tabs>
        <w:ind w:left="2160"/>
        <w:rPr>
          <w:rFonts w:ascii="Arial" w:hAnsi="Arial" w:cs="Arial"/>
          <w:strike/>
        </w:rPr>
      </w:pPr>
      <w:r w:rsidRPr="00E67C0C">
        <w:rPr>
          <w:rFonts w:ascii="Arial" w:hAnsi="Arial" w:cs="Arial"/>
          <w:b/>
          <w:bCs/>
          <w:strike/>
        </w:rPr>
        <w:t>Hotels and motels.</w:t>
      </w:r>
      <w:r w:rsidRPr="00E67C0C">
        <w:rPr>
          <w:rFonts w:ascii="Arial" w:hAnsi="Arial" w:cs="Arial"/>
          <w:strike/>
        </w:rPr>
        <w:t> Forty (40) percent of the total number of parking spaces shall be equipped with low power Level 2 EV charging receptacles.</w:t>
      </w:r>
    </w:p>
    <w:p w14:paraId="5462F65F" w14:textId="2E7822AE" w:rsidR="00803ACE" w:rsidRPr="00937FDF" w:rsidRDefault="0F2639A7" w:rsidP="00496F36">
      <w:pPr>
        <w:numPr>
          <w:ilvl w:val="2"/>
          <w:numId w:val="24"/>
        </w:numPr>
        <w:rPr>
          <w:rFonts w:ascii="Arial" w:hAnsi="Arial" w:cs="Arial"/>
        </w:rPr>
      </w:pPr>
      <w:r w:rsidRPr="0F2639A7">
        <w:rPr>
          <w:rFonts w:ascii="Arial" w:hAnsi="Arial" w:cs="Arial"/>
          <w:b/>
          <w:bCs/>
        </w:rPr>
        <w:t xml:space="preserve">Multifamily parking facilities </w:t>
      </w:r>
      <w:r w:rsidRPr="0F2639A7">
        <w:rPr>
          <w:rFonts w:ascii="Arial" w:hAnsi="Arial" w:cs="Arial"/>
          <w:b/>
          <w:bCs/>
          <w:u w:val="single"/>
        </w:rPr>
        <w:t>with assigned parking</w:t>
      </w:r>
      <w:r w:rsidRPr="0F2639A7">
        <w:rPr>
          <w:rFonts w:ascii="Arial" w:hAnsi="Arial" w:cs="Arial"/>
          <w:b/>
          <w:bCs/>
        </w:rPr>
        <w:t>.</w:t>
      </w:r>
      <w:r w:rsidRPr="0F2639A7">
        <w:rPr>
          <w:rFonts w:ascii="Arial" w:hAnsi="Arial" w:cs="Arial"/>
        </w:rPr>
        <w:t> </w:t>
      </w:r>
      <w:r w:rsidRPr="0F2639A7">
        <w:rPr>
          <w:rFonts w:ascii="Arial" w:hAnsi="Arial" w:cs="Arial"/>
          <w:u w:val="single"/>
        </w:rPr>
        <w:t>Where dwelling units are provided with assigned parking spaces equal to or greater than the number of dwelling units, at least one low power Level 2 EV charging receptacle shall be provided at an assigned parking space for each dwelling unit.</w:t>
      </w:r>
      <w:r w:rsidRPr="0F2639A7">
        <w:rPr>
          <w:rFonts w:ascii="Arial" w:hAnsi="Arial" w:cs="Arial"/>
        </w:rPr>
        <w:t xml:space="preserve"> </w:t>
      </w:r>
      <w:r w:rsidRPr="0F2639A7">
        <w:rPr>
          <w:rFonts w:ascii="Arial" w:hAnsi="Arial" w:cs="Arial"/>
          <w:strike/>
        </w:rPr>
        <w:t>Forty (40) percent of the total number of parking spaces shall be equipped with low power Level 2 EV charging receptacles. EV charging receptacles required by this section shall be located in at least one assigned parking space per dwelling unit where assigned parking is provided but need not exceed forty (40) percent of the total number of assigned parking spaces provided on the site.</w:t>
      </w:r>
    </w:p>
    <w:p w14:paraId="33C53E64" w14:textId="051DF9D3" w:rsidR="00937FDF" w:rsidRPr="00803ACE" w:rsidRDefault="0051180F" w:rsidP="00E2230E">
      <w:pPr>
        <w:numPr>
          <w:ilvl w:val="3"/>
          <w:numId w:val="24"/>
        </w:numPr>
        <w:tabs>
          <w:tab w:val="clear" w:pos="2880"/>
          <w:tab w:val="num" w:pos="3240"/>
        </w:tabs>
        <w:rPr>
          <w:rFonts w:ascii="Arial" w:hAnsi="Arial" w:cs="Arial"/>
          <w:u w:val="single"/>
        </w:rPr>
      </w:pPr>
      <w:r w:rsidRPr="008655BE">
        <w:rPr>
          <w:rFonts w:ascii="Arial" w:hAnsi="Arial" w:cs="Arial"/>
          <w:u w:val="single"/>
        </w:rPr>
        <w:lastRenderedPageBreak/>
        <w:t>Where the total number of dwelling units exceeds the number of assigned parking spaces, all assigned parking spaces shall be provided with one low power Level 2 EV charging receptacle.</w:t>
      </w:r>
    </w:p>
    <w:p w14:paraId="73926C8E" w14:textId="77777777" w:rsidR="00803ACE" w:rsidRPr="00803ACE" w:rsidRDefault="00803ACE" w:rsidP="008655BE">
      <w:pPr>
        <w:ind w:left="2160"/>
        <w:rPr>
          <w:rFonts w:ascii="Arial" w:hAnsi="Arial" w:cs="Arial"/>
          <w:strike/>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72416A3C" w14:textId="511F4617" w:rsidR="008655BE" w:rsidRPr="004533D4" w:rsidRDefault="00FD139D" w:rsidP="00FD139D">
      <w:pPr>
        <w:numPr>
          <w:ilvl w:val="2"/>
          <w:numId w:val="24"/>
        </w:numPr>
        <w:rPr>
          <w:rFonts w:ascii="Arial" w:hAnsi="Arial" w:cs="Arial"/>
          <w:u w:val="single"/>
        </w:rPr>
      </w:pPr>
      <w:r w:rsidRPr="004533D4">
        <w:rPr>
          <w:rFonts w:ascii="Arial" w:hAnsi="Arial" w:cs="Arial"/>
          <w:b/>
          <w:bCs/>
          <w:u w:val="single"/>
        </w:rPr>
        <w:t>Multifamily Parking Facilities with Unassigned</w:t>
      </w:r>
      <w:r w:rsidR="008D7098">
        <w:rPr>
          <w:rFonts w:ascii="Arial" w:hAnsi="Arial" w:cs="Arial"/>
          <w:b/>
          <w:bCs/>
          <w:u w:val="single"/>
        </w:rPr>
        <w:t xml:space="preserve"> or Common use</w:t>
      </w:r>
      <w:r w:rsidRPr="004533D4">
        <w:rPr>
          <w:rFonts w:ascii="Arial" w:hAnsi="Arial" w:cs="Arial"/>
          <w:b/>
          <w:bCs/>
          <w:u w:val="single"/>
        </w:rPr>
        <w:t xml:space="preserve"> Parking.</w:t>
      </w:r>
      <w:r w:rsidRPr="004533D4">
        <w:rPr>
          <w:rFonts w:ascii="Arial" w:hAnsi="Arial" w:cs="Arial"/>
          <w:u w:val="single"/>
        </w:rPr>
        <w:t xml:space="preserve"> </w:t>
      </w:r>
      <w:r w:rsidR="007D66DA" w:rsidRPr="004533D4">
        <w:rPr>
          <w:rFonts w:ascii="Arial" w:hAnsi="Arial" w:cs="Arial"/>
          <w:u w:val="single"/>
        </w:rPr>
        <w:t>Where dwelling</w:t>
      </w:r>
      <w:r w:rsidR="00EF2F7A" w:rsidRPr="004533D4">
        <w:rPr>
          <w:rFonts w:ascii="Arial" w:hAnsi="Arial" w:cs="Arial"/>
          <w:u w:val="single"/>
        </w:rPr>
        <w:t xml:space="preserve"> </w:t>
      </w:r>
      <w:r w:rsidR="007D66DA" w:rsidRPr="004533D4">
        <w:rPr>
          <w:rFonts w:ascii="Arial" w:hAnsi="Arial" w:cs="Arial"/>
          <w:u w:val="single"/>
        </w:rPr>
        <w:t>units are provided with unassigned parking spaces equal to or greater than</w:t>
      </w:r>
      <w:r w:rsidR="00EF2F7A" w:rsidRPr="004533D4">
        <w:rPr>
          <w:rFonts w:ascii="Arial" w:hAnsi="Arial" w:cs="Arial"/>
          <w:u w:val="single"/>
        </w:rPr>
        <w:t xml:space="preserve"> </w:t>
      </w:r>
      <w:r w:rsidR="007D66DA" w:rsidRPr="004533D4">
        <w:rPr>
          <w:rFonts w:ascii="Arial" w:hAnsi="Arial" w:cs="Arial"/>
          <w:u w:val="single"/>
        </w:rPr>
        <w:t>the number of dwelling units, at least</w:t>
      </w:r>
      <w:r w:rsidR="00B66E66">
        <w:rPr>
          <w:rFonts w:ascii="Arial" w:hAnsi="Arial" w:cs="Arial"/>
          <w:u w:val="single"/>
        </w:rPr>
        <w:t xml:space="preserve"> </w:t>
      </w:r>
      <w:r w:rsidR="007D66DA" w:rsidRPr="004533D4">
        <w:rPr>
          <w:rFonts w:ascii="Arial" w:hAnsi="Arial" w:cs="Arial"/>
          <w:u w:val="single"/>
        </w:rPr>
        <w:t>one low power Level 2 EV charging</w:t>
      </w:r>
      <w:r w:rsidR="00EF2F7A" w:rsidRPr="004533D4">
        <w:rPr>
          <w:rFonts w:ascii="Arial" w:hAnsi="Arial" w:cs="Arial"/>
          <w:u w:val="single"/>
        </w:rPr>
        <w:t xml:space="preserve"> </w:t>
      </w:r>
      <w:r w:rsidR="007D66DA" w:rsidRPr="004533D4">
        <w:rPr>
          <w:rFonts w:ascii="Arial" w:hAnsi="Arial" w:cs="Arial"/>
          <w:u w:val="single"/>
        </w:rPr>
        <w:t xml:space="preserve">receptacle shall be provided at an unassigned parking space for </w:t>
      </w:r>
      <w:r w:rsidR="00551EEF">
        <w:rPr>
          <w:rFonts w:ascii="Arial" w:hAnsi="Arial" w:cs="Arial"/>
          <w:u w:val="single"/>
        </w:rPr>
        <w:t>seventy-five (75) percent</w:t>
      </w:r>
      <w:r w:rsidR="0089553B">
        <w:rPr>
          <w:rFonts w:ascii="Arial" w:hAnsi="Arial" w:cs="Arial"/>
          <w:u w:val="single"/>
        </w:rPr>
        <w:t xml:space="preserve"> of total</w:t>
      </w:r>
      <w:r w:rsidR="0089553B" w:rsidRPr="004533D4">
        <w:rPr>
          <w:rFonts w:ascii="Arial" w:hAnsi="Arial" w:cs="Arial"/>
          <w:u w:val="single"/>
        </w:rPr>
        <w:t xml:space="preserve"> </w:t>
      </w:r>
      <w:r w:rsidR="007D66DA" w:rsidRPr="004533D4">
        <w:rPr>
          <w:rFonts w:ascii="Arial" w:hAnsi="Arial" w:cs="Arial"/>
          <w:u w:val="single"/>
        </w:rPr>
        <w:t>dwelling unit</w:t>
      </w:r>
      <w:r w:rsidR="0089553B">
        <w:rPr>
          <w:rFonts w:ascii="Arial" w:hAnsi="Arial" w:cs="Arial"/>
          <w:u w:val="single"/>
        </w:rPr>
        <w:t>s</w:t>
      </w:r>
      <w:r w:rsidR="007D66DA" w:rsidRPr="004533D4">
        <w:rPr>
          <w:rFonts w:ascii="Arial" w:hAnsi="Arial" w:cs="Arial"/>
          <w:u w:val="single"/>
        </w:rPr>
        <w:t>.</w:t>
      </w:r>
    </w:p>
    <w:p w14:paraId="62A58574" w14:textId="3419981C" w:rsidR="00352265" w:rsidRPr="004533D4" w:rsidRDefault="00352265" w:rsidP="00E2230E">
      <w:pPr>
        <w:numPr>
          <w:ilvl w:val="3"/>
          <w:numId w:val="24"/>
        </w:numPr>
        <w:tabs>
          <w:tab w:val="clear" w:pos="2880"/>
          <w:tab w:val="num" w:pos="3240"/>
        </w:tabs>
        <w:rPr>
          <w:rFonts w:ascii="Arial" w:hAnsi="Arial" w:cs="Arial"/>
          <w:u w:val="single"/>
        </w:rPr>
      </w:pPr>
      <w:r w:rsidRPr="004533D4">
        <w:rPr>
          <w:rFonts w:ascii="Arial" w:hAnsi="Arial" w:cs="Arial"/>
          <w:u w:val="single"/>
        </w:rPr>
        <w:t>Where the total number of dwelling units exceeds the number of</w:t>
      </w:r>
      <w:r w:rsidR="007A621A" w:rsidRPr="004533D4">
        <w:rPr>
          <w:rFonts w:ascii="Arial" w:hAnsi="Arial" w:cs="Arial"/>
          <w:u w:val="single"/>
        </w:rPr>
        <w:t xml:space="preserve"> </w:t>
      </w:r>
      <w:r w:rsidRPr="004533D4">
        <w:rPr>
          <w:rFonts w:ascii="Arial" w:hAnsi="Arial" w:cs="Arial"/>
          <w:u w:val="single"/>
        </w:rPr>
        <w:t xml:space="preserve">unassigned parking spaces, </w:t>
      </w:r>
      <w:r w:rsidR="00551EEF">
        <w:rPr>
          <w:rFonts w:ascii="Arial" w:hAnsi="Arial" w:cs="Arial"/>
          <w:u w:val="single"/>
        </w:rPr>
        <w:t>seventy-five (75) percent</w:t>
      </w:r>
      <w:r w:rsidR="00883CFF">
        <w:rPr>
          <w:rFonts w:ascii="Arial" w:hAnsi="Arial" w:cs="Arial"/>
          <w:u w:val="single"/>
        </w:rPr>
        <w:t xml:space="preserve"> of</w:t>
      </w:r>
      <w:r w:rsidR="00883CFF" w:rsidRPr="004533D4">
        <w:rPr>
          <w:rFonts w:ascii="Arial" w:hAnsi="Arial" w:cs="Arial"/>
          <w:u w:val="single"/>
        </w:rPr>
        <w:t xml:space="preserve"> </w:t>
      </w:r>
      <w:r w:rsidRPr="004533D4">
        <w:rPr>
          <w:rFonts w:ascii="Arial" w:hAnsi="Arial" w:cs="Arial"/>
          <w:u w:val="single"/>
        </w:rPr>
        <w:t>unassigned parking spaces shall be</w:t>
      </w:r>
      <w:r w:rsidR="007A621A" w:rsidRPr="004533D4">
        <w:rPr>
          <w:rFonts w:ascii="Arial" w:hAnsi="Arial" w:cs="Arial"/>
          <w:u w:val="single"/>
        </w:rPr>
        <w:t xml:space="preserve"> </w:t>
      </w:r>
      <w:r w:rsidRPr="004533D4">
        <w:rPr>
          <w:rFonts w:ascii="Arial" w:hAnsi="Arial" w:cs="Arial"/>
          <w:u w:val="single"/>
        </w:rPr>
        <w:t xml:space="preserve">provided with one low power Level 2 EV charging receptacle. </w:t>
      </w:r>
    </w:p>
    <w:p w14:paraId="2771A399" w14:textId="4102969D" w:rsidR="00AC4F8B" w:rsidRPr="004533D4" w:rsidRDefault="002B4F1B" w:rsidP="002B4F1B">
      <w:pPr>
        <w:numPr>
          <w:ilvl w:val="2"/>
          <w:numId w:val="25"/>
        </w:numPr>
        <w:rPr>
          <w:rFonts w:ascii="Arial" w:hAnsi="Arial" w:cs="Arial"/>
          <w:u w:val="single"/>
        </w:rPr>
      </w:pPr>
      <w:r w:rsidRPr="004533D4">
        <w:rPr>
          <w:rFonts w:ascii="Arial" w:hAnsi="Arial" w:cs="Arial"/>
          <w:b/>
          <w:bCs/>
          <w:u w:val="single"/>
        </w:rPr>
        <w:t>Multifamily Parking Facilities with Assigned and Unassigned Parking.</w:t>
      </w:r>
      <w:r w:rsidRPr="004533D4">
        <w:rPr>
          <w:rFonts w:ascii="Arial" w:hAnsi="Arial" w:cs="Arial"/>
          <w:u w:val="single"/>
        </w:rPr>
        <w:t xml:space="preserve"> Where </w:t>
      </w:r>
      <w:r w:rsidR="00D15360">
        <w:rPr>
          <w:rFonts w:ascii="Arial" w:hAnsi="Arial" w:cs="Arial"/>
          <w:u w:val="single"/>
        </w:rPr>
        <w:t>dwelling unit</w:t>
      </w:r>
      <w:r w:rsidRPr="004533D4">
        <w:rPr>
          <w:rFonts w:ascii="Arial" w:hAnsi="Arial" w:cs="Arial"/>
          <w:u w:val="single"/>
        </w:rPr>
        <w:t>s are provided with both assigned and unassigned parking spaces, at least one low power Level 2 EV charging receptacle shall be provided for each</w:t>
      </w:r>
      <w:r w:rsidR="00136243">
        <w:rPr>
          <w:rFonts w:ascii="Arial" w:hAnsi="Arial" w:cs="Arial"/>
          <w:u w:val="single"/>
        </w:rPr>
        <w:t xml:space="preserve"> assigned space. For unassigned or common use parking, </w:t>
      </w:r>
      <w:r w:rsidR="00426682">
        <w:rPr>
          <w:rFonts w:ascii="Arial" w:hAnsi="Arial" w:cs="Arial"/>
          <w:u w:val="single"/>
        </w:rPr>
        <w:t xml:space="preserve">at least one low power Level 2 EV charging receptacle shall be provided </w:t>
      </w:r>
      <w:r w:rsidR="00A7543D">
        <w:rPr>
          <w:rFonts w:ascii="Arial" w:hAnsi="Arial" w:cs="Arial"/>
          <w:u w:val="single"/>
        </w:rPr>
        <w:t>at</w:t>
      </w:r>
      <w:r w:rsidR="00551EEF">
        <w:rPr>
          <w:rFonts w:ascii="Arial" w:hAnsi="Arial" w:cs="Arial"/>
          <w:u w:val="single"/>
        </w:rPr>
        <w:t xml:space="preserve"> seventy-five</w:t>
      </w:r>
      <w:r w:rsidR="00A7543D">
        <w:rPr>
          <w:rFonts w:ascii="Arial" w:hAnsi="Arial" w:cs="Arial"/>
          <w:u w:val="single"/>
        </w:rPr>
        <w:t xml:space="preserve"> </w:t>
      </w:r>
      <w:r w:rsidR="00551EEF">
        <w:rPr>
          <w:rFonts w:ascii="Arial" w:hAnsi="Arial" w:cs="Arial"/>
          <w:u w:val="single"/>
        </w:rPr>
        <w:t>(</w:t>
      </w:r>
      <w:r w:rsidR="00A7543D">
        <w:rPr>
          <w:rFonts w:ascii="Arial" w:hAnsi="Arial" w:cs="Arial"/>
          <w:u w:val="single"/>
        </w:rPr>
        <w:t>75</w:t>
      </w:r>
      <w:r w:rsidR="00551EEF">
        <w:rPr>
          <w:rFonts w:ascii="Arial" w:hAnsi="Arial" w:cs="Arial"/>
          <w:u w:val="single"/>
        </w:rPr>
        <w:t>) percent</w:t>
      </w:r>
      <w:r w:rsidR="00A7543D">
        <w:rPr>
          <w:rFonts w:ascii="Arial" w:hAnsi="Arial" w:cs="Arial"/>
          <w:u w:val="single"/>
        </w:rPr>
        <w:t xml:space="preserve"> of spaces</w:t>
      </w:r>
      <w:r w:rsidRPr="004533D4">
        <w:rPr>
          <w:rFonts w:ascii="Arial" w:hAnsi="Arial" w:cs="Arial"/>
          <w:u w:val="single"/>
        </w:rPr>
        <w:t>.</w:t>
      </w:r>
    </w:p>
    <w:p w14:paraId="2ABB62BC" w14:textId="13AA83DB" w:rsidR="00FD139D" w:rsidRPr="00803ACE" w:rsidRDefault="00803ACE" w:rsidP="004533D4">
      <w:pPr>
        <w:numPr>
          <w:ilvl w:val="2"/>
          <w:numId w:val="25"/>
        </w:numPr>
        <w:rPr>
          <w:rFonts w:ascii="Arial" w:hAnsi="Arial" w:cs="Arial"/>
        </w:rPr>
      </w:pPr>
      <w:r w:rsidRPr="00803ACE">
        <w:rPr>
          <w:rFonts w:ascii="Arial" w:hAnsi="Arial" w:cs="Arial"/>
          <w:b/>
          <w:bCs/>
        </w:rPr>
        <w:t>Receptacle power source.</w:t>
      </w:r>
      <w:r w:rsidRPr="00803ACE">
        <w:rPr>
          <w:rFonts w:ascii="Arial" w:hAnsi="Arial" w:cs="Arial"/>
        </w:rPr>
        <w:t xml:space="preserve"> EV charging receptacles in multifamily parking facilities </w:t>
      </w:r>
      <w:r w:rsidR="000D3938">
        <w:rPr>
          <w:rFonts w:ascii="Arial" w:hAnsi="Arial" w:cs="Arial"/>
          <w:u w:val="single"/>
        </w:rPr>
        <w:t xml:space="preserve">at assigned parking spaces </w:t>
      </w:r>
      <w:r w:rsidRPr="00803ACE">
        <w:rPr>
          <w:rFonts w:ascii="Arial" w:hAnsi="Arial" w:cs="Arial"/>
        </w:rPr>
        <w:t xml:space="preserve">shall </w:t>
      </w:r>
      <w:r w:rsidRPr="00C2551D">
        <w:rPr>
          <w:rFonts w:ascii="Arial" w:hAnsi="Arial" w:cs="Arial"/>
        </w:rPr>
        <w:t xml:space="preserve">be </w:t>
      </w:r>
      <w:r w:rsidRPr="00803ACE">
        <w:rPr>
          <w:rFonts w:ascii="Arial" w:hAnsi="Arial" w:cs="Arial"/>
          <w:strike/>
        </w:rPr>
        <w:t>provided with a dedicated branch circuit</w:t>
      </w:r>
      <w:r w:rsidRPr="00803ACE">
        <w:rPr>
          <w:rFonts w:ascii="Arial" w:hAnsi="Arial" w:cs="Arial"/>
        </w:rPr>
        <w:t xml:space="preserve"> connected to the dwelling unit’s electrical</w:t>
      </w:r>
      <w:r w:rsidR="00D549FA">
        <w:rPr>
          <w:rFonts w:ascii="Arial" w:hAnsi="Arial" w:cs="Arial"/>
        </w:rPr>
        <w:t xml:space="preserve"> </w:t>
      </w:r>
      <w:r w:rsidR="00D549FA" w:rsidRPr="00295981">
        <w:rPr>
          <w:rFonts w:ascii="Arial" w:hAnsi="Arial" w:cs="Arial"/>
          <w:u w:val="single"/>
        </w:rPr>
        <w:t>meter</w:t>
      </w:r>
      <w:r w:rsidRPr="00803ACE">
        <w:rPr>
          <w:rFonts w:ascii="Arial" w:hAnsi="Arial" w:cs="Arial"/>
        </w:rPr>
        <w:t xml:space="preserve"> </w:t>
      </w:r>
      <w:r w:rsidRPr="00803ACE">
        <w:rPr>
          <w:rFonts w:ascii="Arial" w:hAnsi="Arial" w:cs="Arial"/>
          <w:strike/>
        </w:rPr>
        <w:t>panel</w:t>
      </w:r>
      <w:r w:rsidRPr="00803ACE">
        <w:rPr>
          <w:rFonts w:ascii="Arial" w:hAnsi="Arial" w:cs="Arial"/>
        </w:rPr>
        <w:t>, unless determined as infeasible by the project builder or designer and subject to concurrence of the local enforcing agency.</w:t>
      </w:r>
    </w:p>
    <w:p w14:paraId="59A02775" w14:textId="77777777" w:rsidR="006D6914" w:rsidRPr="00C85464" w:rsidRDefault="00803ACE" w:rsidP="006D6914">
      <w:pPr>
        <w:ind w:left="2160"/>
        <w:rPr>
          <w:rFonts w:ascii="Arial" w:hAnsi="Arial" w:cs="Arial"/>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3F06D39A" w14:textId="080920AF" w:rsidR="00C87FF1" w:rsidRPr="00C85464" w:rsidRDefault="00803ACE" w:rsidP="00C85464">
      <w:pPr>
        <w:numPr>
          <w:ilvl w:val="2"/>
          <w:numId w:val="25"/>
        </w:numPr>
        <w:rPr>
          <w:rFonts w:ascii="Arial" w:hAnsi="Arial" w:cs="Arial"/>
          <w:b/>
          <w:bCs/>
        </w:rPr>
      </w:pPr>
      <w:r w:rsidRPr="00803ACE">
        <w:rPr>
          <w:rFonts w:ascii="Arial" w:hAnsi="Arial" w:cs="Arial"/>
          <w:b/>
          <w:bCs/>
        </w:rPr>
        <w:t>Receptacle configurations. </w:t>
      </w:r>
      <w:r w:rsidRPr="00803ACE">
        <w:rPr>
          <w:rFonts w:ascii="Arial" w:hAnsi="Arial" w:cs="Arial"/>
        </w:rPr>
        <w:t>208/240V EV charging receptacles shall comply with one of the following configurations:</w:t>
      </w:r>
    </w:p>
    <w:p w14:paraId="5C11D20E"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20-ampere receptacles, NEMA 6-20R</w:t>
      </w:r>
    </w:p>
    <w:p w14:paraId="265101D4"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30-ampere receptacles, NEMA 14-30R</w:t>
      </w:r>
    </w:p>
    <w:p w14:paraId="07CBF77F" w14:textId="73C9F88C" w:rsidR="00803ACE" w:rsidRPr="00803ACE" w:rsidRDefault="00803ACE" w:rsidP="00C2551D">
      <w:pPr>
        <w:numPr>
          <w:ilvl w:val="3"/>
          <w:numId w:val="26"/>
        </w:numPr>
        <w:tabs>
          <w:tab w:val="clear" w:pos="2880"/>
          <w:tab w:val="num" w:pos="3240"/>
        </w:tabs>
        <w:rPr>
          <w:rFonts w:ascii="Arial" w:hAnsi="Arial" w:cs="Arial"/>
        </w:rPr>
      </w:pPr>
      <w:r w:rsidRPr="00803ACE">
        <w:rPr>
          <w:rFonts w:ascii="Arial" w:hAnsi="Arial" w:cs="Arial"/>
        </w:rPr>
        <w:t>For 50-ampere receptacles, NEMA 14-50R</w:t>
      </w:r>
    </w:p>
    <w:p w14:paraId="36E26515" w14:textId="2AF2BF87" w:rsidR="00803ACE" w:rsidRPr="00803ACE" w:rsidRDefault="00803ACE" w:rsidP="00C2551D">
      <w:pPr>
        <w:numPr>
          <w:ilvl w:val="0"/>
          <w:numId w:val="26"/>
        </w:numPr>
        <w:tabs>
          <w:tab w:val="clear" w:pos="720"/>
          <w:tab w:val="num" w:pos="1800"/>
        </w:tabs>
        <w:ind w:left="1440"/>
        <w:rPr>
          <w:rFonts w:ascii="Arial" w:hAnsi="Arial" w:cs="Arial"/>
        </w:rPr>
      </w:pPr>
      <w:r w:rsidRPr="00803ACE">
        <w:rPr>
          <w:rFonts w:ascii="Arial" w:hAnsi="Arial" w:cs="Arial"/>
          <w:b/>
          <w:bCs/>
        </w:rPr>
        <w:t>EV ready parking spaces with EV chargers.</w:t>
      </w:r>
    </w:p>
    <w:p w14:paraId="264C94F9" w14:textId="4CA10EFC" w:rsidR="00803ACE" w:rsidRPr="00803ACE" w:rsidRDefault="00803ACE" w:rsidP="00DA20CC">
      <w:pPr>
        <w:numPr>
          <w:ilvl w:val="2"/>
          <w:numId w:val="27"/>
        </w:numPr>
        <w:rPr>
          <w:rFonts w:ascii="Arial" w:hAnsi="Arial" w:cs="Arial"/>
          <w:strike/>
        </w:rPr>
      </w:pPr>
      <w:r w:rsidRPr="00803ACE">
        <w:rPr>
          <w:rFonts w:ascii="Arial" w:hAnsi="Arial" w:cs="Arial"/>
          <w:b/>
          <w:bCs/>
          <w:strike/>
        </w:rPr>
        <w:t>Hotels and motels.</w:t>
      </w:r>
      <w:r w:rsidRPr="00803ACE">
        <w:rPr>
          <w:rFonts w:ascii="Arial" w:hAnsi="Arial" w:cs="Arial"/>
          <w:strike/>
        </w:rPr>
        <w:t xml:space="preserve"> Ten (10) percent of the total number of parking spaces shall be equipped with Level 2 EV chargers. At least fifty (50) </w:t>
      </w:r>
      <w:r w:rsidRPr="00803ACE">
        <w:rPr>
          <w:rFonts w:ascii="Arial" w:hAnsi="Arial" w:cs="Arial"/>
          <w:strike/>
        </w:rPr>
        <w:lastRenderedPageBreak/>
        <w:t>percent of the required EV chargers shall be equipped with J1772 connectors.</w:t>
      </w:r>
    </w:p>
    <w:p w14:paraId="62FBCCBA" w14:textId="0F88532D" w:rsidR="00803ACE" w:rsidRDefault="0F2639A7" w:rsidP="005E4706">
      <w:pPr>
        <w:numPr>
          <w:ilvl w:val="2"/>
          <w:numId w:val="28"/>
        </w:numPr>
        <w:rPr>
          <w:rFonts w:ascii="Arial" w:hAnsi="Arial" w:cs="Arial"/>
          <w:strike/>
        </w:rPr>
      </w:pPr>
      <w:r w:rsidRPr="0F2639A7">
        <w:rPr>
          <w:rFonts w:ascii="Arial" w:hAnsi="Arial" w:cs="Arial"/>
          <w:b/>
          <w:bCs/>
        </w:rPr>
        <w:t xml:space="preserve">Multifamily parking </w:t>
      </w:r>
      <w:r w:rsidRPr="0F2639A7">
        <w:rPr>
          <w:rFonts w:ascii="Arial" w:hAnsi="Arial" w:cs="Arial"/>
          <w:b/>
          <w:bCs/>
          <w:u w:val="single"/>
        </w:rPr>
        <w:t>facilities with unassigned or common use parking.</w:t>
      </w:r>
      <w:r w:rsidRPr="0F2639A7">
        <w:rPr>
          <w:rFonts w:ascii="Arial" w:hAnsi="Arial" w:cs="Arial"/>
          <w:u w:val="single"/>
        </w:rPr>
        <w:t> In addition to the low power Level 2 EV charging receptacle requirements of section 4.106.4.2.2 (1), twenty-five (25) percent of unassigned or common use parking spaces shall be equipped with Level 2 EV chargers and shall be made available for use by all residents or guests.</w:t>
      </w:r>
      <w:r w:rsidRPr="0F2639A7">
        <w:rPr>
          <w:rFonts w:ascii="Arial" w:hAnsi="Arial" w:cs="Arial"/>
        </w:rPr>
        <w:t xml:space="preserve"> </w:t>
      </w:r>
      <w:r w:rsidRPr="0F2639A7">
        <w:rPr>
          <w:rFonts w:ascii="Arial" w:hAnsi="Arial" w:cs="Arial"/>
          <w:strike/>
        </w:rPr>
        <w:t>Ten (10) percent of the total number of parking spaces shall be equipped with Level 2 EV chargers. At least fifty (50) percent of the required EV chargers shall be equipped with J1772 connectors. Where common use parking or unassigned parking is provided, EV chargers shall be located in common use or unassigned parking areas and shall be available for use by all residents or guests.</w:t>
      </w:r>
    </w:p>
    <w:p w14:paraId="6C0C3109" w14:textId="4197724E" w:rsidR="00B33066" w:rsidRDefault="0F2639A7" w:rsidP="00B33066">
      <w:pPr>
        <w:numPr>
          <w:ilvl w:val="2"/>
          <w:numId w:val="28"/>
        </w:numPr>
        <w:rPr>
          <w:rFonts w:ascii="Arial" w:hAnsi="Arial" w:cs="Arial"/>
          <w:u w:val="single"/>
        </w:rPr>
      </w:pPr>
      <w:r w:rsidRPr="0F2639A7">
        <w:rPr>
          <w:rFonts w:ascii="Arial" w:hAnsi="Arial" w:cs="Arial"/>
          <w:b/>
          <w:bCs/>
          <w:u w:val="single"/>
        </w:rPr>
        <w:t>EV Charger Connectors</w:t>
      </w:r>
      <w:r w:rsidRPr="0F2639A7">
        <w:rPr>
          <w:rFonts w:ascii="Arial" w:hAnsi="Arial" w:cs="Arial"/>
          <w:u w:val="single"/>
        </w:rPr>
        <w:t>. EV chargers shall be equipped with J1772 or J3400 connectors.</w:t>
      </w:r>
    </w:p>
    <w:p w14:paraId="72E2C728" w14:textId="3D832703" w:rsidR="00B33066" w:rsidRPr="00803ACE" w:rsidRDefault="00D56632" w:rsidP="00B51C64">
      <w:pPr>
        <w:numPr>
          <w:ilvl w:val="2"/>
          <w:numId w:val="28"/>
        </w:numPr>
        <w:rPr>
          <w:rFonts w:ascii="Arial" w:hAnsi="Arial" w:cs="Arial"/>
          <w:u w:val="single"/>
        </w:rPr>
      </w:pPr>
      <w:r w:rsidRPr="00D56632">
        <w:rPr>
          <w:rFonts w:ascii="Arial" w:hAnsi="Arial" w:cs="Arial"/>
          <w:u w:val="single"/>
        </w:rPr>
        <w:t>An automatic load management system (ALMS) may be used to reduce the</w:t>
      </w:r>
      <w:r>
        <w:rPr>
          <w:rFonts w:ascii="Arial" w:hAnsi="Arial" w:cs="Arial"/>
          <w:u w:val="single"/>
        </w:rPr>
        <w:t xml:space="preserve"> </w:t>
      </w:r>
      <w:r w:rsidRPr="00D56632">
        <w:rPr>
          <w:rFonts w:ascii="Arial" w:hAnsi="Arial" w:cs="Arial"/>
          <w:u w:val="single"/>
        </w:rPr>
        <w:t>maximum required electrical capacity to each space served by the ALMS.</w:t>
      </w:r>
      <w:r>
        <w:rPr>
          <w:rFonts w:ascii="Arial" w:hAnsi="Arial" w:cs="Arial"/>
          <w:u w:val="single"/>
        </w:rPr>
        <w:t xml:space="preserve"> </w:t>
      </w:r>
      <w:r w:rsidRPr="00D56632">
        <w:rPr>
          <w:rFonts w:ascii="Arial" w:hAnsi="Arial" w:cs="Arial"/>
          <w:u w:val="single"/>
        </w:rPr>
        <w:t>The electrical system and any on-site distribution transformers shall have</w:t>
      </w:r>
      <w:r>
        <w:rPr>
          <w:rFonts w:ascii="Arial" w:hAnsi="Arial" w:cs="Arial"/>
          <w:u w:val="single"/>
        </w:rPr>
        <w:t xml:space="preserve"> </w:t>
      </w:r>
      <w:r w:rsidRPr="00D56632">
        <w:rPr>
          <w:rFonts w:ascii="Arial" w:hAnsi="Arial" w:cs="Arial"/>
          <w:u w:val="single"/>
        </w:rPr>
        <w:t>sufficient capacity to deliver at least 3.3 kW simultaneously to each EV</w:t>
      </w:r>
      <w:r>
        <w:rPr>
          <w:rFonts w:ascii="Arial" w:hAnsi="Arial" w:cs="Arial"/>
          <w:u w:val="single"/>
        </w:rPr>
        <w:t xml:space="preserve"> </w:t>
      </w:r>
      <w:r w:rsidRPr="00D56632">
        <w:rPr>
          <w:rFonts w:ascii="Arial" w:hAnsi="Arial" w:cs="Arial"/>
          <w:u w:val="single"/>
        </w:rPr>
        <w:t>charging station (EVCS) served by the ALMS. The branch circuit shall have</w:t>
      </w:r>
      <w:r w:rsidR="00B51C64">
        <w:rPr>
          <w:rFonts w:ascii="Arial" w:hAnsi="Arial" w:cs="Arial"/>
          <w:u w:val="single"/>
        </w:rPr>
        <w:t xml:space="preserve"> </w:t>
      </w:r>
      <w:r w:rsidRPr="00B51C64">
        <w:rPr>
          <w:rFonts w:ascii="Arial" w:hAnsi="Arial" w:cs="Arial"/>
          <w:u w:val="single"/>
        </w:rPr>
        <w:t>a minimum capacity of 40 amperes, and installed EV chargers shall have a</w:t>
      </w:r>
      <w:r w:rsidR="00B51C64">
        <w:rPr>
          <w:rFonts w:ascii="Arial" w:hAnsi="Arial" w:cs="Arial"/>
          <w:u w:val="single"/>
        </w:rPr>
        <w:t xml:space="preserve"> </w:t>
      </w:r>
      <w:r w:rsidRPr="00B51C64">
        <w:rPr>
          <w:rFonts w:ascii="Arial" w:hAnsi="Arial" w:cs="Arial"/>
          <w:u w:val="single"/>
        </w:rPr>
        <w:t>capacity of not less than 30 amperes.</w:t>
      </w:r>
    </w:p>
    <w:p w14:paraId="70E9E537" w14:textId="6C108CE2" w:rsidR="00803ACE" w:rsidRPr="00803ACE" w:rsidRDefault="00803ACE" w:rsidP="000E1B43">
      <w:pPr>
        <w:ind w:left="1800"/>
        <w:rPr>
          <w:rFonts w:ascii="Arial" w:hAnsi="Arial" w:cs="Arial"/>
          <w:strike/>
        </w:rPr>
      </w:pPr>
      <w:r w:rsidRPr="00803ACE">
        <w:rPr>
          <w:rFonts w:ascii="Arial" w:hAnsi="Arial" w:cs="Arial"/>
          <w:strike/>
        </w:rPr>
        <w:t>Where low power Level 2 EV charging receptacles or Level 2 EV chargers are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C31C038" w14:textId="77777777" w:rsidR="000E1B43" w:rsidRPr="00F9057B" w:rsidRDefault="000E1B43" w:rsidP="00803ACE">
      <w:pPr>
        <w:rPr>
          <w:rFonts w:ascii="Arial" w:hAnsi="Arial" w:cs="Arial"/>
          <w:b/>
          <w:bCs/>
        </w:rPr>
      </w:pPr>
    </w:p>
    <w:p w14:paraId="4A5BE852" w14:textId="275327FC" w:rsidR="00803ACE" w:rsidRPr="00803ACE" w:rsidRDefault="00803ACE" w:rsidP="00D247D2">
      <w:pPr>
        <w:ind w:left="1080"/>
        <w:rPr>
          <w:rFonts w:ascii="Arial" w:hAnsi="Arial" w:cs="Arial"/>
          <w:b/>
          <w:bCs/>
        </w:rPr>
      </w:pPr>
      <w:r w:rsidRPr="00803ACE">
        <w:rPr>
          <w:rFonts w:ascii="Arial" w:hAnsi="Arial" w:cs="Arial"/>
          <w:b/>
          <w:bCs/>
        </w:rPr>
        <w:t>4.106.4.2.2.1 Electric vehicle charging stations (EVCS).</w:t>
      </w:r>
    </w:p>
    <w:p w14:paraId="42EC694E" w14:textId="77777777" w:rsidR="00803ACE" w:rsidRPr="00803ACE" w:rsidRDefault="00803ACE" w:rsidP="00D247D2">
      <w:pPr>
        <w:ind w:left="1080"/>
        <w:rPr>
          <w:rFonts w:ascii="Arial" w:hAnsi="Arial" w:cs="Arial"/>
        </w:rPr>
      </w:pPr>
      <w:r w:rsidRPr="00803ACE">
        <w:rPr>
          <w:rFonts w:ascii="Arial" w:hAnsi="Arial" w:cs="Arial"/>
        </w:rPr>
        <w:t>Electric vehicle charging stations required by </w:t>
      </w:r>
      <w:hyperlink r:id="rId19" w:history="1">
        <w:r w:rsidRPr="00803ACE">
          <w:rPr>
            <w:rStyle w:val="Hyperlink"/>
            <w:rFonts w:ascii="Arial" w:hAnsi="Arial" w:cs="Arial"/>
          </w:rPr>
          <w:t>Section 4.106.4.2.2</w:t>
        </w:r>
      </w:hyperlink>
      <w:r w:rsidRPr="00803ACE">
        <w:rPr>
          <w:rFonts w:ascii="Arial" w:hAnsi="Arial" w:cs="Arial"/>
        </w:rPr>
        <w:t>, Item 2, with EV chargers installed shall comply with </w:t>
      </w:r>
      <w:hyperlink r:id="rId20" w:history="1">
        <w:r w:rsidRPr="00803ACE">
          <w:rPr>
            <w:rStyle w:val="Hyperlink"/>
            <w:rFonts w:ascii="Arial" w:hAnsi="Arial" w:cs="Arial"/>
          </w:rPr>
          <w:t>Section 4.106.4.2.2.1.1</w:t>
        </w:r>
      </w:hyperlink>
      <w:r w:rsidRPr="00803ACE">
        <w:rPr>
          <w:rFonts w:ascii="Arial" w:hAnsi="Arial" w:cs="Arial"/>
        </w:rPr>
        <w:t>.</w:t>
      </w:r>
    </w:p>
    <w:p w14:paraId="0290B52C" w14:textId="77777777" w:rsidR="00803ACE" w:rsidRPr="00803ACE" w:rsidRDefault="00803ACE" w:rsidP="00D247D2">
      <w:pPr>
        <w:ind w:left="1080"/>
        <w:rPr>
          <w:rFonts w:ascii="Arial" w:hAnsi="Arial" w:cs="Arial"/>
        </w:rPr>
      </w:pPr>
      <w:r w:rsidRPr="00803ACE">
        <w:rPr>
          <w:rFonts w:ascii="Arial" w:hAnsi="Arial" w:cs="Arial"/>
          <w:b/>
          <w:bCs/>
        </w:rPr>
        <w:t>Exception:</w:t>
      </w:r>
      <w:r w:rsidRPr="00803ACE">
        <w:rPr>
          <w:rFonts w:ascii="Arial" w:hAnsi="Arial" w:cs="Arial"/>
        </w:rPr>
        <w:t> Electric vehicle charging stations serving public accommodations, public housing, motels, and hotels shall not be required to comply with this section. See </w:t>
      </w:r>
      <w:r w:rsidRPr="00803ACE">
        <w:rPr>
          <w:rFonts w:ascii="Arial" w:hAnsi="Arial" w:cs="Arial"/>
          <w:i/>
          <w:iCs/>
        </w:rPr>
        <w:t>California Building Code</w:t>
      </w:r>
      <w:r w:rsidRPr="00803ACE">
        <w:rPr>
          <w:rFonts w:ascii="Arial" w:hAnsi="Arial" w:cs="Arial"/>
        </w:rPr>
        <w:t>, </w:t>
      </w:r>
      <w:hyperlink r:id="rId21" w:history="1">
        <w:r w:rsidRPr="00803ACE">
          <w:rPr>
            <w:rStyle w:val="Hyperlink"/>
            <w:rFonts w:ascii="Arial" w:hAnsi="Arial" w:cs="Arial"/>
          </w:rPr>
          <w:t>Chapter 11B</w:t>
        </w:r>
      </w:hyperlink>
      <w:r w:rsidRPr="00803ACE">
        <w:rPr>
          <w:rFonts w:ascii="Arial" w:hAnsi="Arial" w:cs="Arial"/>
        </w:rPr>
        <w:t>, for applicable requirements.</w:t>
      </w:r>
    </w:p>
    <w:p w14:paraId="110D3AA8" w14:textId="77777777" w:rsidR="000E1B43" w:rsidRPr="00F9057B" w:rsidRDefault="000E1B43" w:rsidP="00803ACE">
      <w:pPr>
        <w:rPr>
          <w:rFonts w:ascii="Arial" w:hAnsi="Arial" w:cs="Arial"/>
          <w:b/>
          <w:bCs/>
        </w:rPr>
      </w:pPr>
    </w:p>
    <w:p w14:paraId="34566776" w14:textId="177C27BD" w:rsidR="00803ACE" w:rsidRPr="00803ACE" w:rsidRDefault="00803ACE" w:rsidP="00D247D2">
      <w:pPr>
        <w:ind w:left="1440"/>
        <w:rPr>
          <w:rFonts w:ascii="Arial" w:hAnsi="Arial" w:cs="Arial"/>
          <w:b/>
          <w:bCs/>
        </w:rPr>
      </w:pPr>
      <w:r w:rsidRPr="00803ACE">
        <w:rPr>
          <w:rFonts w:ascii="Arial" w:hAnsi="Arial" w:cs="Arial"/>
          <w:b/>
          <w:bCs/>
        </w:rPr>
        <w:t>4.106.4.2.2.1.1 Electric vehicle charging stations (EVCS) spaces with EV chargers installed; dimensions and location.</w:t>
      </w:r>
    </w:p>
    <w:p w14:paraId="71CBF6B1" w14:textId="77777777" w:rsidR="00803ACE" w:rsidRPr="00803ACE" w:rsidRDefault="00803ACE" w:rsidP="00D247D2">
      <w:pPr>
        <w:ind w:left="1440"/>
        <w:rPr>
          <w:rFonts w:ascii="Arial" w:hAnsi="Arial" w:cs="Arial"/>
        </w:rPr>
      </w:pPr>
      <w:r w:rsidRPr="00803ACE">
        <w:rPr>
          <w:rFonts w:ascii="Arial" w:hAnsi="Arial" w:cs="Arial"/>
        </w:rPr>
        <w:lastRenderedPageBreak/>
        <w:t>EVCS spaces shall be designed to comply with the following:</w:t>
      </w:r>
    </w:p>
    <w:p w14:paraId="38C3D747" w14:textId="0382807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length of each EVCS space shall be 18 feet (5486 mm).</w:t>
      </w:r>
    </w:p>
    <w:p w14:paraId="4C26A179" w14:textId="22895923"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width of each EVCS space shall be 9 feet (2743 mm).</w:t>
      </w:r>
    </w:p>
    <w:p w14:paraId="010D8144" w14:textId="0883984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One in every 25 EVCS spaces, but not less than one, shall also have an 8-foot (2438 mm) wide minimum aisle. A 5-foot (1524 mm) wide minimum aisle shall be permitted provided the minimum width of the EVCS space is 12 feet (3658 mm). Surface slope for this EVCS space and the aisle shall not exceed 1 unit vertical in 48 units horizontal (2.083 percent slope) in any direction. These EVCS spaces shall also comply with at least one of the following:</w:t>
      </w:r>
    </w:p>
    <w:p w14:paraId="7E24CD2A" w14:textId="310D33C3" w:rsidR="00803ACE" w:rsidRPr="00F9057B" w:rsidRDefault="00803ACE" w:rsidP="00C2551D">
      <w:pPr>
        <w:pStyle w:val="ListParagraph"/>
        <w:numPr>
          <w:ilvl w:val="1"/>
          <w:numId w:val="4"/>
        </w:numPr>
        <w:tabs>
          <w:tab w:val="clear" w:pos="1440"/>
          <w:tab w:val="num" w:pos="3240"/>
        </w:tabs>
        <w:ind w:left="2880"/>
        <w:rPr>
          <w:rFonts w:ascii="Arial" w:hAnsi="Arial" w:cs="Arial"/>
        </w:rPr>
      </w:pPr>
      <w:r w:rsidRPr="00F9057B">
        <w:rPr>
          <w:rFonts w:ascii="Arial" w:hAnsi="Arial" w:cs="Arial"/>
        </w:rPr>
        <w:t>The EVCS space shall be located adjacent to an accessible parking space meeting the requirements of the </w:t>
      </w:r>
      <w:r w:rsidRPr="00F9057B">
        <w:rPr>
          <w:rFonts w:ascii="Arial" w:hAnsi="Arial" w:cs="Arial"/>
          <w:i/>
          <w:iCs/>
        </w:rPr>
        <w:t>California Building Code</w:t>
      </w:r>
      <w:r w:rsidRPr="00F9057B">
        <w:rPr>
          <w:rFonts w:ascii="Arial" w:hAnsi="Arial" w:cs="Arial"/>
        </w:rPr>
        <w:t>, </w:t>
      </w:r>
      <w:hyperlink r:id="rId22" w:history="1">
        <w:r w:rsidRPr="00F9057B">
          <w:rPr>
            <w:rStyle w:val="Hyperlink"/>
            <w:rFonts w:ascii="Arial" w:hAnsi="Arial" w:cs="Arial"/>
          </w:rPr>
          <w:t>Chapter 11A</w:t>
        </w:r>
      </w:hyperlink>
      <w:r w:rsidRPr="00F9057B">
        <w:rPr>
          <w:rFonts w:ascii="Arial" w:hAnsi="Arial" w:cs="Arial"/>
        </w:rPr>
        <w:t>, to allow use of the EV charger from the accessible parking space.</w:t>
      </w:r>
    </w:p>
    <w:p w14:paraId="64DFBEB1" w14:textId="7A16BBA0" w:rsidR="00803ACE" w:rsidRPr="00803ACE" w:rsidRDefault="00803ACE" w:rsidP="00C2551D">
      <w:pPr>
        <w:numPr>
          <w:ilvl w:val="1"/>
          <w:numId w:val="4"/>
        </w:numPr>
        <w:tabs>
          <w:tab w:val="clear" w:pos="1440"/>
          <w:tab w:val="num" w:pos="3240"/>
        </w:tabs>
        <w:ind w:left="2880"/>
        <w:rPr>
          <w:rFonts w:ascii="Arial" w:hAnsi="Arial" w:cs="Arial"/>
        </w:rPr>
      </w:pPr>
      <w:r w:rsidRPr="00803ACE">
        <w:rPr>
          <w:rFonts w:ascii="Arial" w:hAnsi="Arial" w:cs="Arial"/>
        </w:rPr>
        <w:t>The EVCS space shall be located on an accessible route, as defined in the </w:t>
      </w:r>
      <w:r w:rsidRPr="00803ACE">
        <w:rPr>
          <w:rFonts w:ascii="Arial" w:hAnsi="Arial" w:cs="Arial"/>
          <w:i/>
          <w:iCs/>
        </w:rPr>
        <w:t>California Building Code</w:t>
      </w:r>
      <w:r w:rsidRPr="00803ACE">
        <w:rPr>
          <w:rFonts w:ascii="Arial" w:hAnsi="Arial" w:cs="Arial"/>
        </w:rPr>
        <w:t>, </w:t>
      </w:r>
      <w:hyperlink r:id="rId23" w:history="1">
        <w:r w:rsidRPr="00803ACE">
          <w:rPr>
            <w:rStyle w:val="Hyperlink"/>
            <w:rFonts w:ascii="Arial" w:hAnsi="Arial" w:cs="Arial"/>
          </w:rPr>
          <w:t>Chapter 2</w:t>
        </w:r>
      </w:hyperlink>
      <w:r w:rsidRPr="00803ACE">
        <w:rPr>
          <w:rFonts w:ascii="Arial" w:hAnsi="Arial" w:cs="Arial"/>
        </w:rPr>
        <w:t>, to the building.</w:t>
      </w:r>
    </w:p>
    <w:p w14:paraId="76A36A08" w14:textId="2EFC55C1" w:rsidR="00803ACE" w:rsidRPr="00803ACE" w:rsidRDefault="00803ACE" w:rsidP="00D247D2">
      <w:pPr>
        <w:ind w:left="3600"/>
        <w:rPr>
          <w:rFonts w:ascii="Arial" w:hAnsi="Arial" w:cs="Arial"/>
        </w:rPr>
      </w:pPr>
      <w:r w:rsidRPr="00803ACE">
        <w:rPr>
          <w:rFonts w:ascii="Arial" w:hAnsi="Arial" w:cs="Arial"/>
          <w:b/>
          <w:bCs/>
        </w:rPr>
        <w:t>Exception: </w:t>
      </w:r>
      <w:r w:rsidRPr="00803ACE">
        <w:rPr>
          <w:rFonts w:ascii="Arial" w:hAnsi="Arial" w:cs="Arial"/>
        </w:rPr>
        <w:t>Electric vehicle charging stations designed and constructed in compliance with the California Building Code, </w:t>
      </w:r>
      <w:hyperlink r:id="rId24" w:history="1">
        <w:r w:rsidRPr="00803ACE">
          <w:rPr>
            <w:rStyle w:val="Hyperlink"/>
            <w:rFonts w:ascii="Arial" w:hAnsi="Arial" w:cs="Arial"/>
          </w:rPr>
          <w:t>Chapter 11B</w:t>
        </w:r>
      </w:hyperlink>
      <w:r w:rsidRPr="00803ACE">
        <w:rPr>
          <w:rFonts w:ascii="Arial" w:hAnsi="Arial" w:cs="Arial"/>
        </w:rPr>
        <w:t>, are not required to comply with </w:t>
      </w:r>
      <w:r w:rsidRPr="00196688">
        <w:rPr>
          <w:rFonts w:ascii="Arial" w:hAnsi="Arial" w:cs="Arial"/>
        </w:rPr>
        <w:t>Section 4.106.4.2.2.1.1</w:t>
      </w:r>
      <w:r w:rsidRPr="00803ACE">
        <w:rPr>
          <w:rFonts w:ascii="Arial" w:hAnsi="Arial" w:cs="Arial"/>
        </w:rPr>
        <w:t>.</w:t>
      </w:r>
    </w:p>
    <w:p w14:paraId="3192581B" w14:textId="77777777" w:rsidR="001673FF" w:rsidRPr="00803ACE" w:rsidRDefault="001673FF" w:rsidP="00D247D2">
      <w:pPr>
        <w:ind w:left="3600"/>
        <w:rPr>
          <w:rFonts w:ascii="Arial" w:hAnsi="Arial" w:cs="Arial"/>
        </w:rPr>
      </w:pPr>
    </w:p>
    <w:p w14:paraId="1BCBA171" w14:textId="77777777" w:rsidR="000E1B43" w:rsidRPr="00F9057B" w:rsidRDefault="000E1B43" w:rsidP="000E1B43">
      <w:pPr>
        <w:ind w:left="2160"/>
        <w:rPr>
          <w:rFonts w:ascii="Arial" w:hAnsi="Arial" w:cs="Arial"/>
          <w:b/>
          <w:bCs/>
        </w:rPr>
      </w:pPr>
    </w:p>
    <w:p w14:paraId="6DB1D59A" w14:textId="5528DDA3" w:rsidR="00803ACE" w:rsidRPr="00803ACE" w:rsidRDefault="00803ACE" w:rsidP="00D247D2">
      <w:pPr>
        <w:ind w:left="1440"/>
        <w:rPr>
          <w:rFonts w:ascii="Arial" w:hAnsi="Arial" w:cs="Arial"/>
          <w:b/>
          <w:bCs/>
        </w:rPr>
      </w:pPr>
      <w:r w:rsidRPr="00803ACE">
        <w:rPr>
          <w:rFonts w:ascii="Arial" w:hAnsi="Arial" w:cs="Arial"/>
          <w:b/>
          <w:bCs/>
        </w:rPr>
        <w:t>4.106.4.2.2.1.2 Accessible electric vehicle charging station spaces.</w:t>
      </w:r>
    </w:p>
    <w:p w14:paraId="5A5C64AA" w14:textId="429EDCCD" w:rsidR="00803ACE" w:rsidRPr="00803ACE" w:rsidRDefault="00803ACE" w:rsidP="00D247D2">
      <w:pPr>
        <w:ind w:left="1440"/>
        <w:rPr>
          <w:rFonts w:ascii="Arial" w:hAnsi="Arial" w:cs="Arial"/>
        </w:rPr>
      </w:pPr>
      <w:r w:rsidRPr="00803ACE">
        <w:rPr>
          <w:rFonts w:ascii="Arial" w:hAnsi="Arial" w:cs="Arial"/>
        </w:rPr>
        <w:t>In addition to the requirements in </w:t>
      </w:r>
      <w:r w:rsidRPr="00196688">
        <w:rPr>
          <w:rFonts w:ascii="Arial" w:hAnsi="Arial" w:cs="Arial"/>
        </w:rPr>
        <w:t>Section 4.106.4.2.2.1.1</w:t>
      </w:r>
      <w:r w:rsidRPr="00803ACE">
        <w:rPr>
          <w:rFonts w:ascii="Arial" w:hAnsi="Arial" w:cs="Arial"/>
        </w:rPr>
        <w:t>, all EV chargers, where installed, shall comply with the accessibility provisions for EV chargers in the </w:t>
      </w:r>
      <w:r w:rsidRPr="00803ACE">
        <w:rPr>
          <w:rFonts w:ascii="Arial" w:hAnsi="Arial" w:cs="Arial"/>
          <w:i/>
          <w:iCs/>
        </w:rPr>
        <w:t>California Building Code</w:t>
      </w:r>
      <w:r w:rsidRPr="00803ACE">
        <w:rPr>
          <w:rFonts w:ascii="Arial" w:hAnsi="Arial" w:cs="Arial"/>
        </w:rPr>
        <w:t>, </w:t>
      </w:r>
      <w:hyperlink r:id="rId25" w:history="1">
        <w:r w:rsidRPr="00803ACE">
          <w:rPr>
            <w:rStyle w:val="Hyperlink"/>
            <w:rFonts w:ascii="Arial" w:hAnsi="Arial" w:cs="Arial"/>
          </w:rPr>
          <w:t>Chapter 11B</w:t>
        </w:r>
      </w:hyperlink>
      <w:r w:rsidRPr="00803ACE">
        <w:rPr>
          <w:rFonts w:ascii="Arial" w:hAnsi="Arial" w:cs="Arial"/>
        </w:rPr>
        <w:t>. EV ready spaces and EVCS in multifamily developments shall comply with </w:t>
      </w:r>
      <w:r w:rsidRPr="00803ACE">
        <w:rPr>
          <w:rFonts w:ascii="Arial" w:hAnsi="Arial" w:cs="Arial"/>
          <w:i/>
          <w:iCs/>
        </w:rPr>
        <w:t>California Building Code</w:t>
      </w:r>
      <w:r w:rsidRPr="00803ACE">
        <w:rPr>
          <w:rFonts w:ascii="Arial" w:hAnsi="Arial" w:cs="Arial"/>
        </w:rPr>
        <w:t>, Chapter 11A, </w:t>
      </w:r>
      <w:hyperlink r:id="rId26" w:history="1">
        <w:r w:rsidRPr="00803ACE">
          <w:rPr>
            <w:rStyle w:val="Hyperlink"/>
            <w:rFonts w:ascii="Arial" w:hAnsi="Arial" w:cs="Arial"/>
          </w:rPr>
          <w:t>Section 1109A</w:t>
        </w:r>
      </w:hyperlink>
      <w:r w:rsidRPr="00803ACE">
        <w:rPr>
          <w:rFonts w:ascii="Arial" w:hAnsi="Arial" w:cs="Arial"/>
        </w:rPr>
        <w:t>.</w:t>
      </w:r>
    </w:p>
    <w:p w14:paraId="2244F481" w14:textId="77777777" w:rsidR="000E1B43" w:rsidRPr="00F9057B" w:rsidRDefault="000E1B43" w:rsidP="000E1B43">
      <w:pPr>
        <w:ind w:left="2160"/>
        <w:rPr>
          <w:rFonts w:ascii="Arial" w:hAnsi="Arial" w:cs="Arial"/>
          <w:b/>
          <w:bCs/>
        </w:rPr>
      </w:pPr>
    </w:p>
    <w:p w14:paraId="6BC375A2" w14:textId="6DFD1CC0" w:rsidR="00803ACE" w:rsidRPr="00803ACE" w:rsidRDefault="00803ACE" w:rsidP="000E1B43">
      <w:pPr>
        <w:ind w:left="720"/>
        <w:rPr>
          <w:rFonts w:ascii="Arial" w:hAnsi="Arial" w:cs="Arial"/>
          <w:b/>
          <w:bCs/>
        </w:rPr>
      </w:pPr>
      <w:r w:rsidRPr="00803ACE">
        <w:rPr>
          <w:rFonts w:ascii="Arial" w:hAnsi="Arial" w:cs="Arial"/>
          <w:b/>
          <w:bCs/>
        </w:rPr>
        <w:t>4.106.4.2.3</w:t>
      </w:r>
    </w:p>
    <w:p w14:paraId="4484B2A0"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394E79B7" w14:textId="77777777" w:rsidR="00D247D2" w:rsidRPr="00F9057B" w:rsidRDefault="00D247D2" w:rsidP="000E1B43">
      <w:pPr>
        <w:ind w:left="720"/>
        <w:rPr>
          <w:rFonts w:ascii="Arial" w:hAnsi="Arial" w:cs="Arial"/>
          <w:b/>
          <w:bCs/>
        </w:rPr>
      </w:pPr>
    </w:p>
    <w:p w14:paraId="7F928901" w14:textId="6CCE16D2" w:rsidR="00803ACE" w:rsidRPr="00803ACE" w:rsidRDefault="00803ACE" w:rsidP="000E1B43">
      <w:pPr>
        <w:ind w:left="720"/>
        <w:rPr>
          <w:rFonts w:ascii="Arial" w:hAnsi="Arial" w:cs="Arial"/>
          <w:b/>
          <w:bCs/>
        </w:rPr>
      </w:pPr>
      <w:r w:rsidRPr="00803ACE">
        <w:rPr>
          <w:rFonts w:ascii="Arial" w:hAnsi="Arial" w:cs="Arial"/>
          <w:b/>
          <w:bCs/>
        </w:rPr>
        <w:t>4.106.4.2.4</w:t>
      </w:r>
    </w:p>
    <w:p w14:paraId="339EE3C6"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25C624D8" w14:textId="77777777" w:rsidR="00D247D2" w:rsidRPr="00F9057B" w:rsidRDefault="00D247D2" w:rsidP="000E1B43">
      <w:pPr>
        <w:ind w:left="720"/>
        <w:rPr>
          <w:rFonts w:ascii="Arial" w:hAnsi="Arial" w:cs="Arial"/>
          <w:b/>
          <w:bCs/>
        </w:rPr>
      </w:pPr>
    </w:p>
    <w:p w14:paraId="7B1C69F6" w14:textId="12A02C0A" w:rsidR="00803ACE" w:rsidRPr="00803ACE" w:rsidRDefault="00803ACE" w:rsidP="000E1B43">
      <w:pPr>
        <w:ind w:left="720"/>
        <w:rPr>
          <w:rFonts w:ascii="Arial" w:hAnsi="Arial" w:cs="Arial"/>
          <w:b/>
          <w:bCs/>
        </w:rPr>
      </w:pPr>
      <w:r w:rsidRPr="00803ACE">
        <w:rPr>
          <w:rFonts w:ascii="Arial" w:hAnsi="Arial" w:cs="Arial"/>
          <w:b/>
          <w:bCs/>
        </w:rPr>
        <w:t>4.106.4.2.5 Electric vehicle ready space signage.</w:t>
      </w:r>
    </w:p>
    <w:p w14:paraId="0C19F263" w14:textId="77777777" w:rsidR="00803ACE" w:rsidRDefault="00803ACE" w:rsidP="000E1B43">
      <w:pPr>
        <w:ind w:left="720"/>
        <w:rPr>
          <w:rFonts w:ascii="Arial" w:hAnsi="Arial" w:cs="Arial"/>
        </w:rPr>
      </w:pPr>
      <w:r w:rsidRPr="00803ACE">
        <w:rPr>
          <w:rFonts w:ascii="Arial" w:hAnsi="Arial" w:cs="Arial"/>
        </w:rPr>
        <w:lastRenderedPageBreak/>
        <w:t>Electric vehicle ready spaces shall be identified by signage or pavement markings, in compliance with Caltrans Traffic Operations Policy Directive 13-01 (Zero Emission Vehicle Signs and Pavement Markings) or its successor(s).</w:t>
      </w:r>
    </w:p>
    <w:p w14:paraId="15DC3BA2" w14:textId="77777777" w:rsidR="003B6F56" w:rsidRDefault="003B6F56" w:rsidP="000E1B43">
      <w:pPr>
        <w:ind w:left="720"/>
        <w:rPr>
          <w:rFonts w:ascii="Arial" w:hAnsi="Arial" w:cs="Arial"/>
        </w:rPr>
      </w:pPr>
    </w:p>
    <w:p w14:paraId="2A4B7AF1" w14:textId="0A642147" w:rsidR="003B6F56" w:rsidRPr="00803ACE" w:rsidRDefault="003B6F56" w:rsidP="003B6F56">
      <w:pPr>
        <w:ind w:left="720"/>
        <w:rPr>
          <w:rFonts w:ascii="Arial" w:hAnsi="Arial" w:cs="Arial"/>
          <w:b/>
          <w:bCs/>
          <w:u w:val="single"/>
        </w:rPr>
      </w:pPr>
      <w:r w:rsidRPr="00803ACE">
        <w:rPr>
          <w:rFonts w:ascii="Arial" w:hAnsi="Arial" w:cs="Arial"/>
          <w:b/>
          <w:bCs/>
          <w:u w:val="single"/>
        </w:rPr>
        <w:t>4.106.4.2.</w:t>
      </w:r>
      <w:r w:rsidR="009A161B" w:rsidRPr="00E67C0C">
        <w:rPr>
          <w:rFonts w:ascii="Arial" w:hAnsi="Arial" w:cs="Arial"/>
          <w:b/>
          <w:bCs/>
          <w:u w:val="single"/>
        </w:rPr>
        <w:t xml:space="preserve">6 Hotels and </w:t>
      </w:r>
      <w:r w:rsidR="00FB0490" w:rsidRPr="00E67C0C">
        <w:rPr>
          <w:rFonts w:ascii="Arial" w:hAnsi="Arial" w:cs="Arial"/>
          <w:b/>
          <w:bCs/>
          <w:u w:val="single"/>
        </w:rPr>
        <w:t>m</w:t>
      </w:r>
      <w:r w:rsidR="009A161B" w:rsidRPr="00E67C0C">
        <w:rPr>
          <w:rFonts w:ascii="Arial" w:hAnsi="Arial" w:cs="Arial"/>
          <w:b/>
          <w:bCs/>
          <w:u w:val="single"/>
        </w:rPr>
        <w:t>otels</w:t>
      </w:r>
      <w:r w:rsidR="00FB0490" w:rsidRPr="00E67C0C">
        <w:rPr>
          <w:rFonts w:ascii="Arial" w:hAnsi="Arial" w:cs="Arial"/>
          <w:b/>
          <w:bCs/>
          <w:u w:val="single"/>
        </w:rPr>
        <w:t>.</w:t>
      </w:r>
    </w:p>
    <w:p w14:paraId="3C0F1954" w14:textId="01D4DD6E" w:rsidR="003B6F56" w:rsidRPr="00E67C0C" w:rsidRDefault="00FB0490" w:rsidP="00E00B00">
      <w:pPr>
        <w:numPr>
          <w:ilvl w:val="0"/>
          <w:numId w:val="22"/>
        </w:numPr>
        <w:tabs>
          <w:tab w:val="clear" w:pos="720"/>
        </w:tabs>
        <w:ind w:left="1080"/>
        <w:rPr>
          <w:rFonts w:ascii="Arial" w:hAnsi="Arial" w:cs="Arial"/>
          <w:u w:val="single"/>
        </w:rPr>
      </w:pPr>
      <w:r w:rsidRPr="00E67C0C">
        <w:rPr>
          <w:rFonts w:ascii="Arial" w:hAnsi="Arial" w:cs="Arial"/>
          <w:b/>
          <w:bCs/>
          <w:u w:val="single"/>
        </w:rPr>
        <w:t>EV</w:t>
      </w:r>
      <w:r w:rsidRPr="00E67C0C">
        <w:rPr>
          <w:rFonts w:ascii="Arial" w:hAnsi="Arial" w:cs="Arial"/>
          <w:u w:val="single"/>
        </w:rPr>
        <w:t xml:space="preserve"> </w:t>
      </w:r>
      <w:r w:rsidRPr="00E67C0C">
        <w:rPr>
          <w:rFonts w:ascii="Arial" w:hAnsi="Arial" w:cs="Arial"/>
          <w:b/>
          <w:bCs/>
          <w:u w:val="single"/>
        </w:rPr>
        <w:t>Ready Parking Spaces with Receptacles.</w:t>
      </w:r>
    </w:p>
    <w:p w14:paraId="3B9A650E" w14:textId="01CA35E9" w:rsidR="006857AF" w:rsidRPr="00E67C0C" w:rsidRDefault="0F2639A7" w:rsidP="0042044B">
      <w:pPr>
        <w:pStyle w:val="ListParagraph"/>
        <w:numPr>
          <w:ilvl w:val="1"/>
          <w:numId w:val="22"/>
        </w:numPr>
        <w:tabs>
          <w:tab w:val="clear" w:pos="1440"/>
          <w:tab w:val="num" w:pos="1800"/>
        </w:tabs>
        <w:rPr>
          <w:u w:val="single"/>
        </w:rPr>
      </w:pPr>
      <w:r w:rsidRPr="0F2639A7">
        <w:rPr>
          <w:b/>
          <w:bCs/>
          <w:u w:val="single"/>
        </w:rPr>
        <w:t>Hotels and Motels</w:t>
      </w:r>
      <w:r w:rsidRPr="0F2639A7">
        <w:rPr>
          <w:u w:val="single"/>
        </w:rPr>
        <w:t xml:space="preserve">. Forty (40) percent of the total number of parking spaces shall be equipped with low power Level 2 EV charging receptacles. </w:t>
      </w:r>
    </w:p>
    <w:p w14:paraId="479A37B5" w14:textId="77777777" w:rsidR="006857AF" w:rsidRPr="00E67C0C" w:rsidRDefault="006857AF" w:rsidP="006857AF">
      <w:pPr>
        <w:pStyle w:val="ListParagraph"/>
        <w:ind w:left="1440"/>
        <w:rPr>
          <w:u w:val="single"/>
        </w:rPr>
      </w:pPr>
    </w:p>
    <w:p w14:paraId="67104176" w14:textId="77777777" w:rsidR="001B426D" w:rsidRPr="00743FE0" w:rsidRDefault="00FE77FB" w:rsidP="001B426D">
      <w:pPr>
        <w:pStyle w:val="ListParagraph"/>
        <w:ind w:left="1440"/>
        <w:rPr>
          <w:strike/>
          <w:u w:val="single"/>
        </w:rPr>
      </w:pPr>
      <w:r w:rsidRPr="00743FE0">
        <w:rPr>
          <w:b/>
          <w:bCs/>
          <w:strike/>
          <w:u w:val="single"/>
        </w:rPr>
        <w:t>Exception</w:t>
      </w:r>
      <w:r w:rsidRPr="00743FE0">
        <w:rPr>
          <w:strike/>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 </w:t>
      </w:r>
    </w:p>
    <w:p w14:paraId="44D0D85C" w14:textId="77777777" w:rsidR="001B426D" w:rsidRPr="00E67C0C" w:rsidRDefault="001B426D" w:rsidP="001B426D">
      <w:pPr>
        <w:pStyle w:val="ListParagraph"/>
        <w:ind w:left="1440"/>
        <w:rPr>
          <w:u w:val="single"/>
        </w:rPr>
      </w:pPr>
    </w:p>
    <w:p w14:paraId="78D127B4" w14:textId="0F42CAA3" w:rsidR="00FE77FB" w:rsidRPr="00E67C0C" w:rsidRDefault="00FE77FB" w:rsidP="0042044B">
      <w:pPr>
        <w:pStyle w:val="ListParagraph"/>
        <w:numPr>
          <w:ilvl w:val="1"/>
          <w:numId w:val="22"/>
        </w:numPr>
        <w:tabs>
          <w:tab w:val="clear" w:pos="1440"/>
          <w:tab w:val="num" w:pos="1800"/>
        </w:tabs>
        <w:rPr>
          <w:u w:val="single"/>
        </w:rPr>
      </w:pPr>
      <w:r w:rsidRPr="00E67C0C">
        <w:rPr>
          <w:b/>
          <w:bCs/>
          <w:u w:val="single"/>
        </w:rPr>
        <w:t>Receptacle Configurations.</w:t>
      </w:r>
      <w:r w:rsidRPr="00E67C0C">
        <w:rPr>
          <w:u w:val="single"/>
        </w:rPr>
        <w:t xml:space="preserve"> 208/240V EV charging receptacles shall comply with one of the following configurations: </w:t>
      </w:r>
    </w:p>
    <w:p w14:paraId="2D40D120" w14:textId="2AA38FEB"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20- ampere receptacles, NEMA 6-20R </w:t>
      </w:r>
    </w:p>
    <w:p w14:paraId="0389E682" w14:textId="77777777"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30- ampere receptacles, NEMA 14-30R </w:t>
      </w:r>
    </w:p>
    <w:p w14:paraId="484B19D3" w14:textId="3E3B49C5" w:rsidR="00FE77FB"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50- ampere receptacles, NEMA 14-50R </w:t>
      </w:r>
    </w:p>
    <w:p w14:paraId="1A8656E1" w14:textId="77777777" w:rsidR="006469F7" w:rsidRPr="00E67C0C" w:rsidRDefault="006469F7" w:rsidP="006469F7">
      <w:pPr>
        <w:pStyle w:val="ListParagraph"/>
        <w:ind w:left="2160"/>
        <w:rPr>
          <w:u w:val="single"/>
        </w:rPr>
      </w:pPr>
    </w:p>
    <w:p w14:paraId="7B2F5B39" w14:textId="77777777" w:rsidR="0054155F" w:rsidRPr="00E67C0C" w:rsidRDefault="00FE77FB" w:rsidP="000E1B43">
      <w:pPr>
        <w:ind w:left="720"/>
        <w:rPr>
          <w:u w:val="single"/>
        </w:rPr>
      </w:pPr>
      <w:r w:rsidRPr="00E67C0C">
        <w:rPr>
          <w:u w:val="single"/>
        </w:rPr>
        <w:t xml:space="preserve">2. </w:t>
      </w:r>
      <w:r w:rsidRPr="00E67C0C">
        <w:rPr>
          <w:b/>
          <w:bCs/>
          <w:u w:val="single"/>
        </w:rPr>
        <w:t>EV Ready Parking Spaces with EV Chargers.</w:t>
      </w:r>
      <w:r w:rsidRPr="00E67C0C">
        <w:rPr>
          <w:u w:val="single"/>
        </w:rPr>
        <w:t xml:space="preserve"> </w:t>
      </w:r>
    </w:p>
    <w:p w14:paraId="63789C08" w14:textId="06905F25" w:rsidR="00505EA0" w:rsidRPr="00E67C0C" w:rsidRDefault="00FE77FB" w:rsidP="0042044B">
      <w:pPr>
        <w:pStyle w:val="ListParagraph"/>
        <w:numPr>
          <w:ilvl w:val="1"/>
          <w:numId w:val="23"/>
        </w:numPr>
        <w:tabs>
          <w:tab w:val="clear" w:pos="1440"/>
          <w:tab w:val="num" w:pos="1800"/>
        </w:tabs>
        <w:rPr>
          <w:u w:val="single"/>
        </w:rPr>
      </w:pPr>
      <w:r w:rsidRPr="00E67C0C">
        <w:rPr>
          <w:b/>
          <w:bCs/>
          <w:u w:val="single"/>
        </w:rPr>
        <w:t>Hotels and Motels.</w:t>
      </w:r>
      <w:r w:rsidRPr="00E67C0C">
        <w:rPr>
          <w:u w:val="single"/>
        </w:rPr>
        <w:t xml:space="preserve"> Twenty-five (25) percent of the total number of parking spaces shall be equipped with Level 2 EV chargers. </w:t>
      </w:r>
    </w:p>
    <w:p w14:paraId="0E26A659" w14:textId="77777777" w:rsidR="00505EA0" w:rsidRPr="00E67C0C" w:rsidRDefault="00505EA0" w:rsidP="00505EA0">
      <w:pPr>
        <w:pStyle w:val="ListParagraph"/>
        <w:ind w:left="1440"/>
        <w:rPr>
          <w:u w:val="single"/>
        </w:rPr>
      </w:pPr>
    </w:p>
    <w:p w14:paraId="6CD456C2" w14:textId="5FDC1181" w:rsidR="00D94E40" w:rsidRPr="00D94E40" w:rsidRDefault="00FE77FB" w:rsidP="0042044B">
      <w:pPr>
        <w:pStyle w:val="ListParagraph"/>
        <w:numPr>
          <w:ilvl w:val="1"/>
          <w:numId w:val="23"/>
        </w:numPr>
        <w:tabs>
          <w:tab w:val="clear" w:pos="1440"/>
          <w:tab w:val="num" w:pos="1800"/>
        </w:tabs>
        <w:rPr>
          <w:u w:val="single"/>
        </w:rPr>
      </w:pPr>
      <w:r w:rsidRPr="00D94E40">
        <w:rPr>
          <w:b/>
          <w:bCs/>
          <w:u w:val="single"/>
        </w:rPr>
        <w:t>EV Charger Connectors</w:t>
      </w:r>
      <w:r w:rsidRPr="00D94E40">
        <w:rPr>
          <w:u w:val="single"/>
        </w:rPr>
        <w:t xml:space="preserve">. EV chargers shall be equipped with J1772 or J3400 connectors. </w:t>
      </w:r>
    </w:p>
    <w:p w14:paraId="4605EFFB" w14:textId="77777777" w:rsidR="00D94E40" w:rsidRPr="00D94E40" w:rsidRDefault="00D94E40" w:rsidP="00D94E40">
      <w:pPr>
        <w:pStyle w:val="ListParagraph"/>
        <w:ind w:left="1440"/>
        <w:rPr>
          <w:u w:val="single"/>
        </w:rPr>
      </w:pPr>
    </w:p>
    <w:p w14:paraId="6538DD49" w14:textId="7B1FD0C0" w:rsidR="00FE77FB" w:rsidRPr="00E67C0C" w:rsidRDefault="00FE77FB" w:rsidP="00845265">
      <w:pPr>
        <w:pStyle w:val="ListParagraph"/>
        <w:ind w:left="1080"/>
        <w:rPr>
          <w:u w:val="single"/>
        </w:rPr>
      </w:pPr>
      <w:r w:rsidRPr="00E67C0C">
        <w:rPr>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79763CF3" w14:textId="77777777" w:rsidR="000E1B43" w:rsidRPr="00F9057B" w:rsidRDefault="000E1B43" w:rsidP="00803ACE">
      <w:pPr>
        <w:rPr>
          <w:rFonts w:ascii="Arial" w:hAnsi="Arial" w:cs="Arial"/>
          <w:b/>
          <w:bCs/>
        </w:rPr>
      </w:pPr>
    </w:p>
    <w:p w14:paraId="43ADE2FF" w14:textId="7E066834" w:rsidR="00803ACE" w:rsidRDefault="00803ACE" w:rsidP="00D247D2">
      <w:pPr>
        <w:ind w:left="360"/>
        <w:rPr>
          <w:rFonts w:ascii="Arial" w:hAnsi="Arial" w:cs="Arial"/>
          <w:b/>
          <w:bCs/>
        </w:rPr>
      </w:pPr>
      <w:r w:rsidRPr="00803ACE">
        <w:rPr>
          <w:rFonts w:ascii="Arial" w:hAnsi="Arial" w:cs="Arial"/>
          <w:b/>
          <w:bCs/>
        </w:rPr>
        <w:t>4.106.4.3 Electric vehicle charging for additions and alterations of parking facilities serving existing multi-family buildings</w:t>
      </w:r>
      <w:r w:rsidR="00F03A19" w:rsidRPr="00F03A19">
        <w:rPr>
          <w:rFonts w:ascii="Arial" w:hAnsi="Arial" w:cs="Arial"/>
          <w:b/>
          <w:bCs/>
          <w:u w:val="single"/>
        </w:rPr>
        <w:t>, hotels and motels</w:t>
      </w:r>
      <w:r w:rsidRPr="00803ACE">
        <w:rPr>
          <w:rFonts w:ascii="Arial" w:hAnsi="Arial" w:cs="Arial"/>
          <w:b/>
          <w:bCs/>
        </w:rPr>
        <w:t>.</w:t>
      </w:r>
    </w:p>
    <w:p w14:paraId="5CBF8F0C" w14:textId="5D2A1198" w:rsidR="004576CE" w:rsidRPr="005E23A4" w:rsidRDefault="004576CE" w:rsidP="0042044B">
      <w:pPr>
        <w:ind w:left="360"/>
        <w:rPr>
          <w:u w:val="single"/>
        </w:rPr>
      </w:pPr>
      <w:r w:rsidRPr="005E23A4">
        <w:rPr>
          <w:u w:val="single"/>
        </w:rPr>
        <w:t>Existing buildings or parking facilities being modified by one of the following shall comply with </w:t>
      </w:r>
      <w:r w:rsidRPr="0042044B">
        <w:t xml:space="preserve">Section </w:t>
      </w:r>
      <w:r w:rsidR="00D30BE4" w:rsidRPr="0042044B">
        <w:t>4</w:t>
      </w:r>
      <w:r w:rsidRPr="0042044B">
        <w:t>.106.4.</w:t>
      </w:r>
      <w:r w:rsidR="006D6E8A">
        <w:rPr>
          <w:u w:val="single"/>
        </w:rPr>
        <w:t>3</w:t>
      </w:r>
      <w:r w:rsidRPr="005E23A4">
        <w:rPr>
          <w:u w:val="single"/>
        </w:rPr>
        <w:t>. When EVSE is installed, accessible EVCS shall be provided in accordance with the California Building Code, Chapter 11B, </w:t>
      </w:r>
      <w:hyperlink r:id="rId27" w:history="1">
        <w:r w:rsidRPr="005E23A4">
          <w:rPr>
            <w:rStyle w:val="Hyperlink"/>
          </w:rPr>
          <w:t>Section 11B-228.3</w:t>
        </w:r>
      </w:hyperlink>
      <w:r w:rsidRPr="005E23A4">
        <w:rPr>
          <w:u w:val="single"/>
        </w:rPr>
        <w:t>.</w:t>
      </w:r>
    </w:p>
    <w:p w14:paraId="3BDFB96B" w14:textId="77777777" w:rsidR="004576CE" w:rsidRPr="005E23A4" w:rsidRDefault="004576CE" w:rsidP="0042044B">
      <w:pPr>
        <w:numPr>
          <w:ilvl w:val="0"/>
          <w:numId w:val="13"/>
        </w:numPr>
        <w:tabs>
          <w:tab w:val="clear" w:pos="720"/>
          <w:tab w:val="num" w:pos="1440"/>
        </w:tabs>
        <w:ind w:left="1080"/>
        <w:rPr>
          <w:u w:val="single"/>
        </w:rPr>
      </w:pPr>
      <w:r w:rsidRPr="005E23A4">
        <w:rPr>
          <w:u w:val="single"/>
        </w:rPr>
        <w:lastRenderedPageBreak/>
        <w:t>When the scope of construction work includes an increase or alteration to power supply to an electric service panel as part of a parking facility addition or alteration.</w:t>
      </w:r>
    </w:p>
    <w:p w14:paraId="10D91398" w14:textId="77777777" w:rsidR="004576CE" w:rsidRPr="005E23A4" w:rsidRDefault="004576CE" w:rsidP="0042044B">
      <w:pPr>
        <w:numPr>
          <w:ilvl w:val="0"/>
          <w:numId w:val="13"/>
        </w:numPr>
        <w:tabs>
          <w:tab w:val="clear" w:pos="720"/>
          <w:tab w:val="num" w:pos="1080"/>
        </w:tabs>
        <w:ind w:left="1080"/>
        <w:rPr>
          <w:u w:val="single"/>
        </w:rPr>
      </w:pPr>
      <w:r w:rsidRPr="005E23A4">
        <w:rPr>
          <w:u w:val="single"/>
        </w:rPr>
        <w:t>When a new photovoltaic system is installed covering existing parking spaces.</w:t>
      </w:r>
    </w:p>
    <w:p w14:paraId="72D159E6" w14:textId="169380F9" w:rsidR="004576CE" w:rsidRPr="005E23A4" w:rsidRDefault="004576CE" w:rsidP="0042044B">
      <w:pPr>
        <w:numPr>
          <w:ilvl w:val="0"/>
          <w:numId w:val="13"/>
        </w:numPr>
        <w:tabs>
          <w:tab w:val="clear" w:pos="720"/>
          <w:tab w:val="num" w:pos="1080"/>
        </w:tabs>
        <w:ind w:left="1080"/>
        <w:rPr>
          <w:u w:val="single"/>
        </w:rPr>
      </w:pPr>
      <w:r w:rsidRPr="005E23A4">
        <w:rPr>
          <w:u w:val="single"/>
        </w:rPr>
        <w:t>When additions or alterations to existing buildings are triggered pursuant to code </w:t>
      </w:r>
      <w:r w:rsidRPr="004C610B">
        <w:rPr>
          <w:u w:val="single"/>
        </w:rPr>
        <w:t>Section 301.</w:t>
      </w:r>
      <w:r w:rsidR="00A95CD7" w:rsidRPr="004C610B">
        <w:rPr>
          <w:u w:val="single"/>
        </w:rPr>
        <w:t>1</w:t>
      </w:r>
      <w:r w:rsidRPr="005E23A4">
        <w:rPr>
          <w:u w:val="single"/>
        </w:rPr>
        <w:t> and the scope of work includes an increase in power supply to an electric service panel.</w:t>
      </w:r>
    </w:p>
    <w:p w14:paraId="6472C8C9" w14:textId="1BA1E87A" w:rsidR="004576CE" w:rsidRPr="005E23A4" w:rsidRDefault="004576CE" w:rsidP="0042044B">
      <w:pPr>
        <w:numPr>
          <w:ilvl w:val="0"/>
          <w:numId w:val="13"/>
        </w:numPr>
        <w:tabs>
          <w:tab w:val="clear" w:pos="720"/>
          <w:tab w:val="num" w:pos="1080"/>
        </w:tabs>
        <w:ind w:left="1080"/>
        <w:rPr>
          <w:u w:val="single"/>
        </w:rPr>
      </w:pPr>
      <w:r w:rsidRPr="005E23A4">
        <w:rPr>
          <w:u w:val="single"/>
        </w:rPr>
        <w:t>Addition of parking facilities or alterations that include breaking ground on existing parking surfaces</w:t>
      </w:r>
      <w:r w:rsidR="0042486C">
        <w:rPr>
          <w:u w:val="single"/>
        </w:rPr>
        <w:t>.</w:t>
      </w:r>
    </w:p>
    <w:p w14:paraId="60C98EA4" w14:textId="77777777" w:rsidR="001110AE" w:rsidRPr="005E23A4" w:rsidRDefault="001110AE" w:rsidP="001110AE">
      <w:pPr>
        <w:ind w:left="360"/>
        <w:rPr>
          <w:u w:val="single"/>
        </w:rPr>
      </w:pPr>
      <w:r w:rsidRPr="005E23A4">
        <w:rPr>
          <w:b/>
          <w:bCs/>
          <w:u w:val="single"/>
        </w:rPr>
        <w:t>Exceptions:</w:t>
      </w:r>
    </w:p>
    <w:p w14:paraId="2F720A76" w14:textId="77777777" w:rsidR="001110AE" w:rsidRPr="005E23A4" w:rsidRDefault="001110AE" w:rsidP="001110AE">
      <w:pPr>
        <w:numPr>
          <w:ilvl w:val="0"/>
          <w:numId w:val="14"/>
        </w:numPr>
        <w:rPr>
          <w:u w:val="single"/>
        </w:rPr>
      </w:pPr>
      <w:r w:rsidRPr="005E23A4">
        <w:rPr>
          <w:u w:val="single"/>
        </w:rPr>
        <w:t>On a case-by-case basis where the local enforcing agency has determined compliance with this section is not feasible based upon one of the following conditions:</w:t>
      </w:r>
    </w:p>
    <w:p w14:paraId="45082563" w14:textId="77777777" w:rsidR="001110AE" w:rsidRPr="005E23A4" w:rsidRDefault="001110AE" w:rsidP="001110AE">
      <w:pPr>
        <w:pStyle w:val="ListParagraph"/>
        <w:numPr>
          <w:ilvl w:val="1"/>
          <w:numId w:val="14"/>
        </w:numPr>
        <w:rPr>
          <w:u w:val="single"/>
        </w:rPr>
      </w:pPr>
      <w:r w:rsidRPr="005E23A4">
        <w:rPr>
          <w:u w:val="single"/>
        </w:rPr>
        <w:t>Where there is no local utility power supply.</w:t>
      </w:r>
    </w:p>
    <w:p w14:paraId="648F1C9B" w14:textId="77777777" w:rsidR="001110AE" w:rsidRPr="005E23A4" w:rsidRDefault="001110AE" w:rsidP="001110AE">
      <w:pPr>
        <w:numPr>
          <w:ilvl w:val="1"/>
          <w:numId w:val="14"/>
        </w:numPr>
        <w:rPr>
          <w:u w:val="single"/>
        </w:rPr>
      </w:pPr>
      <w:r w:rsidRPr="005E23A4">
        <w:rPr>
          <w:u w:val="single"/>
        </w:rPr>
        <w:t>Where the local utility is unable to supply adequate power.</w:t>
      </w:r>
    </w:p>
    <w:p w14:paraId="614957C0" w14:textId="3FC26E13" w:rsidR="001110AE" w:rsidRPr="005E23A4" w:rsidRDefault="001110AE" w:rsidP="001110AE">
      <w:pPr>
        <w:numPr>
          <w:ilvl w:val="1"/>
          <w:numId w:val="14"/>
        </w:numPr>
        <w:rPr>
          <w:u w:val="single"/>
        </w:rPr>
      </w:pPr>
      <w:r w:rsidRPr="005E23A4">
        <w:rPr>
          <w:u w:val="single"/>
        </w:rPr>
        <w:t>Where there is evidence suitable to the local enforcement agency substantiating that additional local utility infrastructure design requirements, directly related to the implementation of </w:t>
      </w:r>
      <w:r w:rsidRPr="00A53AA3">
        <w:rPr>
          <w:u w:val="single"/>
        </w:rPr>
        <w:t xml:space="preserve">Section </w:t>
      </w:r>
      <w:r w:rsidR="002F0F7C" w:rsidRPr="00A53AA3">
        <w:rPr>
          <w:u w:val="single"/>
        </w:rPr>
        <w:t>4</w:t>
      </w:r>
      <w:r w:rsidRPr="00A53AA3">
        <w:rPr>
          <w:u w:val="single"/>
        </w:rPr>
        <w:t>.106.</w:t>
      </w:r>
      <w:r w:rsidR="002F0F7C" w:rsidRPr="00A53AA3">
        <w:rPr>
          <w:u w:val="single"/>
        </w:rPr>
        <w:t>4</w:t>
      </w:r>
      <w:r w:rsidRPr="00A53AA3">
        <w:rPr>
          <w:u w:val="single"/>
        </w:rPr>
        <w:t>.3</w:t>
      </w:r>
      <w:r w:rsidRPr="005E23A4">
        <w:rPr>
          <w:u w:val="single"/>
        </w:rPr>
        <w:t xml:space="preserve">, may increase construction cost by an average of $4,500 per parking space. EV infrastructure shall be provided up to the level that would not exceed this cost for utility service. </w:t>
      </w:r>
      <w:r w:rsidRPr="005E23A4">
        <w:rPr>
          <w:strike/>
          <w:u w:val="single"/>
        </w:rPr>
        <w:t>adversely impact the construction cost of the project</w:t>
      </w:r>
      <w:r w:rsidRPr="005E23A4">
        <w:rPr>
          <w:u w:val="single"/>
        </w:rPr>
        <w:t>.</w:t>
      </w:r>
    </w:p>
    <w:p w14:paraId="55B83ABD" w14:textId="77777777" w:rsidR="001110AE" w:rsidRPr="005E23A4" w:rsidRDefault="001110AE" w:rsidP="001110AE">
      <w:pPr>
        <w:numPr>
          <w:ilvl w:val="1"/>
          <w:numId w:val="14"/>
        </w:numPr>
        <w:rPr>
          <w:u w:val="single"/>
        </w:rPr>
      </w:pPr>
      <w:r w:rsidRPr="005E23A4">
        <w:rPr>
          <w:u w:val="single"/>
        </w:rPr>
        <w:t>Where demonstrated as impracticable excluding local utility service or utility infrastructure issues.</w:t>
      </w:r>
    </w:p>
    <w:p w14:paraId="17B24445" w14:textId="77777777" w:rsidR="001110AE" w:rsidRPr="005E23A4" w:rsidRDefault="001110AE" w:rsidP="001110AE">
      <w:pPr>
        <w:numPr>
          <w:ilvl w:val="0"/>
          <w:numId w:val="14"/>
        </w:numPr>
        <w:rPr>
          <w:u w:val="single"/>
        </w:rPr>
      </w:pPr>
      <w:r w:rsidRPr="005E23A4">
        <w:rPr>
          <w:u w:val="single"/>
        </w:rPr>
        <w:t>Remote parking facilities that do not have access to the building service panel.</w:t>
      </w:r>
    </w:p>
    <w:p w14:paraId="2CF1DC37" w14:textId="77777777" w:rsidR="001110AE" w:rsidRPr="005E23A4" w:rsidRDefault="001110AE" w:rsidP="001110AE">
      <w:pPr>
        <w:numPr>
          <w:ilvl w:val="0"/>
          <w:numId w:val="14"/>
        </w:numPr>
        <w:rPr>
          <w:u w:val="single"/>
        </w:rPr>
      </w:pPr>
      <w:r w:rsidRPr="005E23A4">
        <w:rPr>
          <w:u w:val="single"/>
        </w:rPr>
        <w:t>Parking area lighting upgrades where no trenching is part of the scope of work.</w:t>
      </w:r>
    </w:p>
    <w:p w14:paraId="5599F8F4" w14:textId="77777777" w:rsidR="001110AE" w:rsidRPr="005E23A4" w:rsidRDefault="001110AE" w:rsidP="001110AE">
      <w:pPr>
        <w:numPr>
          <w:ilvl w:val="0"/>
          <w:numId w:val="14"/>
        </w:numPr>
        <w:rPr>
          <w:u w:val="single"/>
        </w:rPr>
      </w:pPr>
      <w:r w:rsidRPr="005E23A4">
        <w:rPr>
          <w:u w:val="single"/>
        </w:rPr>
        <w:t>Emergency repairs, including but not limited to water line break in parking facilities, natural disaster repairs, etc.</w:t>
      </w:r>
    </w:p>
    <w:p w14:paraId="0EF093B7" w14:textId="77777777" w:rsidR="001110AE" w:rsidRPr="002B291F" w:rsidRDefault="001110AE" w:rsidP="001110AE">
      <w:pPr>
        <w:numPr>
          <w:ilvl w:val="0"/>
          <w:numId w:val="14"/>
        </w:numPr>
        <w:rPr>
          <w:u w:val="single"/>
        </w:rPr>
      </w:pPr>
      <w:r w:rsidRPr="00E47EDD">
        <w:rPr>
          <w:rFonts w:ascii="Arial" w:hAnsi="Arial" w:cs="Arial"/>
          <w:u w:val="single"/>
        </w:rPr>
        <w:t>Alterations that solely add Level 1 EV charging receptacles or Level 1 EV chargers, and no other addition or alteration is performed</w:t>
      </w:r>
      <w:r>
        <w:rPr>
          <w:rFonts w:ascii="Arial" w:hAnsi="Arial" w:cs="Arial"/>
          <w:u w:val="single"/>
        </w:rPr>
        <w:t xml:space="preserve"> within the parking facility</w:t>
      </w:r>
      <w:r w:rsidRPr="00E47EDD">
        <w:rPr>
          <w:rFonts w:ascii="Arial" w:hAnsi="Arial" w:cs="Arial"/>
          <w:u w:val="single"/>
        </w:rPr>
        <w:t>.</w:t>
      </w:r>
    </w:p>
    <w:p w14:paraId="3E5F9C9C" w14:textId="77777777" w:rsidR="001110AE" w:rsidRPr="002B291F" w:rsidRDefault="001110AE" w:rsidP="00BF658A">
      <w:pPr>
        <w:ind w:left="720"/>
        <w:rPr>
          <w:rFonts w:ascii="Arial" w:hAnsi="Arial" w:cs="Arial"/>
          <w:b/>
          <w:bCs/>
          <w:u w:val="single"/>
        </w:rPr>
      </w:pPr>
      <w:r w:rsidRPr="002B291F">
        <w:rPr>
          <w:rFonts w:ascii="Arial" w:hAnsi="Arial" w:cs="Arial"/>
          <w:b/>
          <w:bCs/>
          <w:u w:val="single"/>
        </w:rPr>
        <w:t>4.106.4.3.1 Existing multifamily and hotel/motel buildings or parking areas without previously installed EV capable infrastructure.</w:t>
      </w:r>
    </w:p>
    <w:p w14:paraId="7507F14C" w14:textId="77777777" w:rsidR="001110AE" w:rsidRPr="002B291F" w:rsidRDefault="001110AE" w:rsidP="00BF658A">
      <w:pPr>
        <w:ind w:left="720"/>
        <w:rPr>
          <w:rFonts w:ascii="Arial" w:hAnsi="Arial" w:cs="Arial"/>
          <w:u w:val="single"/>
        </w:rPr>
      </w:pPr>
      <w:r w:rsidRPr="002B291F">
        <w:rPr>
          <w:rFonts w:ascii="Arial" w:hAnsi="Arial" w:cs="Arial"/>
          <w:u w:val="single"/>
        </w:rPr>
        <w:t>When EV capable infrastructure does not exist at an existing parking facility or building, and the parking facility or building undergoes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w:t>
      </w:r>
    </w:p>
    <w:p w14:paraId="4CC0EEA3" w14:textId="77777777" w:rsidR="001110AE" w:rsidRPr="0006189B" w:rsidRDefault="001110AE" w:rsidP="00BF658A">
      <w:pPr>
        <w:ind w:left="720"/>
        <w:rPr>
          <w:rFonts w:ascii="Arial" w:hAnsi="Arial" w:cs="Arial"/>
          <w:b/>
          <w:bCs/>
        </w:rPr>
      </w:pPr>
    </w:p>
    <w:p w14:paraId="208FD123" w14:textId="77777777" w:rsidR="001110AE" w:rsidRPr="00E703C8" w:rsidRDefault="001110AE" w:rsidP="00BF658A">
      <w:pPr>
        <w:ind w:left="720"/>
        <w:rPr>
          <w:rFonts w:ascii="Arial" w:hAnsi="Arial" w:cs="Arial"/>
          <w:b/>
          <w:bCs/>
          <w:u w:val="single"/>
        </w:rPr>
      </w:pPr>
      <w:r w:rsidRPr="00E703C8">
        <w:rPr>
          <w:rFonts w:ascii="Arial" w:hAnsi="Arial" w:cs="Arial"/>
          <w:b/>
          <w:bCs/>
          <w:u w:val="single"/>
        </w:rPr>
        <w:lastRenderedPageBreak/>
        <w:t>4.106.4.3.2 Existing buildings or parking areas with previously installed EV capable infrastructure.</w:t>
      </w:r>
    </w:p>
    <w:p w14:paraId="4856F119" w14:textId="77777777" w:rsidR="001110AE" w:rsidRPr="00E703C8" w:rsidRDefault="448946A8" w:rsidP="00BF658A">
      <w:pPr>
        <w:ind w:left="720"/>
        <w:rPr>
          <w:rFonts w:ascii="Arial" w:hAnsi="Arial" w:cs="Arial"/>
          <w:u w:val="single"/>
        </w:rPr>
      </w:pPr>
      <w:r w:rsidRPr="448946A8">
        <w:rPr>
          <w:rFonts w:ascii="Arial" w:hAnsi="Arial" w:cs="Arial"/>
          <w:u w:val="single"/>
        </w:rPr>
        <w:t>When EV capable infrastructure is available at an existing parking facility or building, and the parking facility or building is undergoing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 Construction shall utilize the existing EV capable allocated power and infrastructure for the total number of actual parking spaces being added or altered. If the area being added or altered exceeds the existing EV capable capacity, allocated power and infrastructure, provide additional EV charging as needed to comply with this section.</w:t>
      </w:r>
    </w:p>
    <w:p w14:paraId="231D3618" w14:textId="3C72CD19" w:rsidR="00502CD6" w:rsidRPr="00722426" w:rsidRDefault="002C71DA" w:rsidP="00722426">
      <w:pPr>
        <w:pStyle w:val="ListParagraph"/>
        <w:numPr>
          <w:ilvl w:val="2"/>
          <w:numId w:val="23"/>
        </w:numPr>
        <w:tabs>
          <w:tab w:val="clear" w:pos="2160"/>
          <w:tab w:val="num" w:pos="720"/>
        </w:tabs>
        <w:ind w:left="720"/>
        <w:rPr>
          <w:rFonts w:ascii="Arial" w:hAnsi="Arial" w:cs="Arial"/>
          <w:u w:val="single"/>
        </w:rPr>
      </w:pPr>
      <w:r w:rsidRPr="002C71DA">
        <w:rPr>
          <w:rFonts w:ascii="Arial" w:hAnsi="Arial" w:cs="Arial"/>
          <w:strike/>
        </w:rPr>
        <w:t>Where new parking facilities are added, or electrical systems or lighting of existing parking facilities are added or altered and the work requires a building permit, ten (10) percent of the total number of parking spaces added or altered shall be EV capable spaces to support future Level 2 electric vehicle supply equipment. The service panel or subpanel circuit directory shall identify the overcurrent protective device space(s) reserved for future EV charging purposes as “EV CAPABLE.”</w:t>
      </w:r>
    </w:p>
    <w:p w14:paraId="2AACF2DE" w14:textId="25245576" w:rsidR="00A742C4" w:rsidRDefault="00A742C4" w:rsidP="002C71DA">
      <w:pPr>
        <w:ind w:left="720"/>
        <w:rPr>
          <w:rFonts w:ascii="Arial" w:hAnsi="Arial" w:cs="Arial"/>
          <w:u w:val="single"/>
        </w:rPr>
      </w:pPr>
      <w:r w:rsidRPr="00E47EDD">
        <w:rPr>
          <w:rFonts w:ascii="Arial" w:hAnsi="Arial" w:cs="Arial"/>
          <w:b/>
          <w:bCs/>
          <w:u w:val="single"/>
        </w:rPr>
        <w:t xml:space="preserve">Exception: </w:t>
      </w:r>
    </w:p>
    <w:p w14:paraId="06ACEAAB" w14:textId="6E896E23" w:rsidR="002C71DA" w:rsidRPr="005B7F56" w:rsidRDefault="002C71DA" w:rsidP="00BF658A">
      <w:pPr>
        <w:autoSpaceDE w:val="0"/>
        <w:autoSpaceDN w:val="0"/>
        <w:adjustRightInd w:val="0"/>
        <w:spacing w:before="120" w:after="120" w:line="240" w:lineRule="auto"/>
        <w:ind w:left="720"/>
        <w:rPr>
          <w:rFonts w:eastAsia="Batang"/>
          <w:snapToGrid w:val="0"/>
          <w:u w:val="single"/>
        </w:rPr>
      </w:pPr>
      <w:r w:rsidRPr="005B7F56">
        <w:rPr>
          <w:rFonts w:eastAsia="Batang"/>
          <w:snapToGrid w:val="0"/>
          <w:u w:val="single"/>
        </w:rPr>
        <w:t xml:space="preserve">When new parking facilities are added and ALMS is installed, the </w:t>
      </w:r>
      <w:r w:rsidR="00C80C4F" w:rsidRPr="005B7F56">
        <w:rPr>
          <w:rFonts w:eastAsia="Batang"/>
          <w:snapToGrid w:val="0"/>
          <w:u w:val="single"/>
        </w:rPr>
        <w:t>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F6FBE65" w14:textId="77777777" w:rsidR="00803ACE" w:rsidRPr="00803ACE" w:rsidRDefault="00803ACE" w:rsidP="00D247D2">
      <w:pPr>
        <w:ind w:left="360"/>
        <w:rPr>
          <w:rFonts w:ascii="Arial" w:hAnsi="Arial" w:cs="Arial"/>
          <w:strike/>
        </w:rPr>
      </w:pPr>
      <w:r w:rsidRPr="00803ACE">
        <w:rPr>
          <w:rFonts w:ascii="Arial" w:hAnsi="Arial" w:cs="Arial"/>
          <w:b/>
          <w:bCs/>
          <w:strike/>
        </w:rPr>
        <w:t>Notes:</w:t>
      </w:r>
    </w:p>
    <w:p w14:paraId="6CE7F1BF" w14:textId="5FEACF73" w:rsidR="00803ACE" w:rsidRPr="00C03A7A" w:rsidRDefault="00803ACE" w:rsidP="00D247D2">
      <w:pPr>
        <w:pStyle w:val="ListParagraph"/>
        <w:numPr>
          <w:ilvl w:val="0"/>
          <w:numId w:val="5"/>
        </w:numPr>
        <w:rPr>
          <w:rFonts w:ascii="Arial" w:hAnsi="Arial" w:cs="Arial"/>
          <w:strike/>
        </w:rPr>
      </w:pPr>
      <w:r w:rsidRPr="00C03A7A">
        <w:rPr>
          <w:rFonts w:ascii="Arial" w:hAnsi="Arial" w:cs="Arial"/>
          <w:strike/>
        </w:rPr>
        <w:t>Construction documents are intended to demonstrate the project’s capability and capacity for facilitating future EV charging.</w:t>
      </w:r>
    </w:p>
    <w:p w14:paraId="1932158D" w14:textId="4E82835A" w:rsidR="00803ACE" w:rsidRPr="00803ACE" w:rsidRDefault="00803ACE" w:rsidP="00803ACE">
      <w:pPr>
        <w:numPr>
          <w:ilvl w:val="0"/>
          <w:numId w:val="5"/>
        </w:numPr>
        <w:rPr>
          <w:rFonts w:ascii="Arial" w:hAnsi="Arial" w:cs="Arial"/>
          <w:strike/>
        </w:rPr>
      </w:pPr>
      <w:r w:rsidRPr="00803ACE">
        <w:rPr>
          <w:rFonts w:ascii="Arial" w:hAnsi="Arial" w:cs="Arial"/>
          <w:strike/>
        </w:rPr>
        <w:t>There is no requirement for EV spaces to be constructed or available until EV chargers are installed for use.</w:t>
      </w:r>
    </w:p>
    <w:p w14:paraId="609BABDC" w14:textId="77777777" w:rsidR="00702445" w:rsidRDefault="00702445" w:rsidP="00802E23"/>
    <w:p w14:paraId="466FB429" w14:textId="5AADCD79" w:rsidR="00A36536" w:rsidRPr="000A09C1" w:rsidRDefault="00A36536" w:rsidP="00A36536">
      <w:pPr>
        <w:ind w:left="360"/>
        <w:rPr>
          <w:u w:val="single"/>
        </w:rPr>
        <w:sectPr w:rsidR="00A36536" w:rsidRPr="000A09C1" w:rsidSect="003545CD">
          <w:pgSz w:w="12240" w:h="15840"/>
          <w:pgMar w:top="1440" w:right="1440" w:bottom="1440" w:left="1440" w:header="720" w:footer="720" w:gutter="0"/>
          <w:cols w:space="720"/>
          <w:docGrid w:linePitch="360"/>
        </w:sectPr>
      </w:pPr>
      <w:r w:rsidRPr="000A09C1">
        <w:rPr>
          <w:b/>
          <w:bCs/>
          <w:u w:val="single"/>
        </w:rPr>
        <w:t>4.106.4.4. Direct current fast charging stations.</w:t>
      </w:r>
      <w:r w:rsidRPr="000A09C1">
        <w:rPr>
          <w:u w:val="single"/>
        </w:rPr>
        <w:t xml:space="preserve"> One DCFC may be substituted for up to five (5) EVCS </w:t>
      </w:r>
      <w:r w:rsidR="00DF0CDB">
        <w:rPr>
          <w:u w:val="single"/>
        </w:rPr>
        <w:t xml:space="preserve">or </w:t>
      </w:r>
      <w:r w:rsidR="000E3443">
        <w:rPr>
          <w:u w:val="single"/>
        </w:rPr>
        <w:t>ten (10) low power</w:t>
      </w:r>
      <w:r w:rsidR="00283630">
        <w:rPr>
          <w:u w:val="single"/>
        </w:rPr>
        <w:t xml:space="preserve"> level 2</w:t>
      </w:r>
      <w:r w:rsidR="000E3443">
        <w:rPr>
          <w:u w:val="single"/>
        </w:rPr>
        <w:t xml:space="preserve"> </w:t>
      </w:r>
      <w:r w:rsidR="00DF0CDB">
        <w:rPr>
          <w:u w:val="single"/>
        </w:rPr>
        <w:t xml:space="preserve">EV Ready spaces </w:t>
      </w:r>
      <w:r w:rsidRPr="000A09C1">
        <w:rPr>
          <w:u w:val="single"/>
        </w:rPr>
        <w:t>to meet the requirements of 4.106.4.</w:t>
      </w:r>
      <w:r w:rsidR="000A09C1" w:rsidRPr="000A09C1">
        <w:rPr>
          <w:u w:val="single"/>
        </w:rPr>
        <w:t>2</w:t>
      </w:r>
      <w:r w:rsidRPr="000A09C1">
        <w:rPr>
          <w:u w:val="single"/>
        </w:rPr>
        <w:t xml:space="preserve"> and 4.106.4.</w:t>
      </w:r>
      <w:r w:rsidR="000A09C1" w:rsidRPr="000A09C1">
        <w:rPr>
          <w:u w:val="single"/>
        </w:rPr>
        <w:t>3</w:t>
      </w:r>
      <w:r w:rsidRPr="000A09C1">
        <w:rPr>
          <w:u w:val="single"/>
        </w:rPr>
        <w:t>. Where ALMS serve DCFC stations, the power demand from the DCFC shall be prioritized above Level 1 and Level 2 spaces.</w:t>
      </w:r>
    </w:p>
    <w:p w14:paraId="6C5F0C7E" w14:textId="031004E3" w:rsidR="00021243" w:rsidRDefault="006673A6" w:rsidP="006673A6">
      <w:pPr>
        <w:pStyle w:val="Heading1"/>
        <w:rPr>
          <w:rFonts w:ascii="Arial" w:hAnsi="Arial" w:cs="Arial"/>
        </w:rPr>
      </w:pPr>
      <w:r w:rsidRPr="00F9057B">
        <w:rPr>
          <w:rFonts w:ascii="Arial" w:hAnsi="Arial" w:cs="Arial"/>
        </w:rPr>
        <w:lastRenderedPageBreak/>
        <w:t>Chapter 5 – Nonresidential Mandatory Measures</w:t>
      </w:r>
    </w:p>
    <w:p w14:paraId="4E327B27" w14:textId="77777777" w:rsidR="005A74CA" w:rsidRDefault="005A74CA" w:rsidP="005A74CA"/>
    <w:p w14:paraId="2A812272" w14:textId="77777777" w:rsidR="005A74CA" w:rsidRPr="005A74CA" w:rsidRDefault="005A74CA" w:rsidP="005A74CA">
      <w:pPr>
        <w:rPr>
          <w:b/>
          <w:bCs/>
        </w:rPr>
      </w:pPr>
      <w:r w:rsidRPr="005A74CA">
        <w:rPr>
          <w:b/>
          <w:bCs/>
        </w:rPr>
        <w:t>5.106.5.3 Electric vehicle (EV) charging.</w:t>
      </w:r>
    </w:p>
    <w:p w14:paraId="3713486E" w14:textId="301037A6" w:rsidR="005A74CA" w:rsidRPr="005A74CA" w:rsidRDefault="005A74CA" w:rsidP="005A74CA">
      <w:pPr>
        <w:rPr>
          <w:u w:val="single"/>
        </w:rPr>
      </w:pPr>
      <w:r w:rsidRPr="005A74CA">
        <w:rPr>
          <w:b/>
          <w:bCs/>
        </w:rPr>
        <w:t>[N] [BSC-CG]</w:t>
      </w:r>
      <w:r w:rsidRPr="005A74CA">
        <w:t> Construction to provide electric vehicle infrastructure and facilitate electric vehicle charging shall comply with </w:t>
      </w:r>
      <w:r w:rsidRPr="003210B9">
        <w:t>Section 5.106.5.3.1</w:t>
      </w:r>
      <w:r w:rsidRPr="005A74CA">
        <w:t> EV capable spaces</w:t>
      </w:r>
      <w:r w:rsidR="00EE337B">
        <w:t xml:space="preserve"> </w:t>
      </w:r>
      <w:r w:rsidR="00EE337B" w:rsidRPr="00EE337B">
        <w:rPr>
          <w:u w:val="single"/>
        </w:rPr>
        <w:t>and</w:t>
      </w:r>
      <w:r w:rsidR="00FD50E9">
        <w:t xml:space="preserve"> </w:t>
      </w:r>
      <w:r w:rsidRPr="003210B9">
        <w:t>Section 5.106.5.3.2</w:t>
      </w:r>
      <w:r w:rsidRPr="005A74CA">
        <w:t> Electric vehicle charging stations and associated </w:t>
      </w:r>
      <w:r w:rsidRPr="003210B9">
        <w:t>Table 5.106.5.3.1</w:t>
      </w:r>
      <w:r w:rsidRPr="005A74CA">
        <w:t>, or </w:t>
      </w:r>
      <w:r w:rsidRPr="003210B9">
        <w:t>Section 5.106.5.3.6</w:t>
      </w:r>
      <w:r w:rsidRPr="005A74CA">
        <w:t> Electric vehicle charging stations (EVCS)—Power allocation method and associated </w:t>
      </w:r>
      <w:r w:rsidRPr="003210B9">
        <w:t>Table 5.106.5.3.6</w:t>
      </w:r>
      <w:r w:rsidRPr="005A74CA">
        <w:t> and shall be provided in accordance with regulations in the </w:t>
      </w:r>
      <w:hyperlink r:id="rId28" w:history="1">
        <w:r w:rsidRPr="005A74CA">
          <w:rPr>
            <w:rStyle w:val="Hyperlink"/>
            <w:i/>
            <w:iCs/>
          </w:rPr>
          <w:t>California Building Code</w:t>
        </w:r>
      </w:hyperlink>
      <w:r w:rsidRPr="005A74CA">
        <w:t> and the </w:t>
      </w:r>
      <w:r w:rsidRPr="005A74CA">
        <w:rPr>
          <w:i/>
          <w:iCs/>
        </w:rPr>
        <w:t>California Electrical Code</w:t>
      </w:r>
      <w:r w:rsidRPr="005A74CA">
        <w:t>.</w:t>
      </w:r>
      <w:r w:rsidR="00F25770">
        <w:t xml:space="preserve"> </w:t>
      </w:r>
    </w:p>
    <w:p w14:paraId="79CE75B4" w14:textId="77777777" w:rsidR="005A74CA" w:rsidRPr="005A74CA" w:rsidRDefault="005A74CA" w:rsidP="005A74CA">
      <w:r w:rsidRPr="005A74CA">
        <w:rPr>
          <w:b/>
          <w:bCs/>
        </w:rPr>
        <w:t>Exceptions:</w:t>
      </w:r>
    </w:p>
    <w:p w14:paraId="0086811E" w14:textId="010A6F95" w:rsidR="005A74CA" w:rsidRPr="005A74CA" w:rsidRDefault="005A74CA" w:rsidP="005A74CA">
      <w:pPr>
        <w:numPr>
          <w:ilvl w:val="0"/>
          <w:numId w:val="7"/>
        </w:numPr>
      </w:pPr>
      <w:r w:rsidRPr="005A74CA">
        <w:t>On a case-by-case basis where the local enforcing agency has determined compliance with this section is not feasible based upon one of the following conditions:</w:t>
      </w:r>
    </w:p>
    <w:p w14:paraId="4313FFCA" w14:textId="7CCFE339" w:rsidR="005A74CA" w:rsidRPr="005A74CA" w:rsidRDefault="005A74CA" w:rsidP="00636004">
      <w:pPr>
        <w:pStyle w:val="ListParagraph"/>
        <w:numPr>
          <w:ilvl w:val="1"/>
          <w:numId w:val="7"/>
        </w:numPr>
      </w:pPr>
      <w:r w:rsidRPr="005A74CA">
        <w:t>Where there is no local utility power supply.</w:t>
      </w:r>
    </w:p>
    <w:p w14:paraId="7148C272" w14:textId="5C3AC683" w:rsidR="005A74CA" w:rsidRPr="005A74CA" w:rsidRDefault="005A74CA" w:rsidP="005A74CA">
      <w:pPr>
        <w:numPr>
          <w:ilvl w:val="1"/>
          <w:numId w:val="7"/>
        </w:numPr>
      </w:pPr>
      <w:r w:rsidRPr="005A74CA">
        <w:t>Where the local utility is unable to supply adequate power.</w:t>
      </w:r>
    </w:p>
    <w:p w14:paraId="0F588175" w14:textId="7A6E32E1" w:rsidR="005A74CA" w:rsidRPr="005A74CA" w:rsidRDefault="005A74CA" w:rsidP="005A74CA">
      <w:pPr>
        <w:numPr>
          <w:ilvl w:val="1"/>
          <w:numId w:val="7"/>
        </w:numPr>
        <w:rPr>
          <w:strike/>
        </w:rPr>
      </w:pPr>
      <w:r w:rsidRPr="005A74CA">
        <w:t>Where there is evidence suitable to the local enforcement agency substantiating that additional local utility infrastructure design requirements, directly related to the implementation of </w:t>
      </w:r>
      <w:r w:rsidRPr="00083906">
        <w:t>Section 5.106.5.3</w:t>
      </w:r>
      <w:r w:rsidRPr="005A74CA">
        <w:t xml:space="preserve">, may </w:t>
      </w:r>
      <w:r w:rsidR="00B20530" w:rsidRPr="00B20530">
        <w:rPr>
          <w:u w:val="single"/>
        </w:rPr>
        <w:t>increase construction cost by an average of $4,500 per parking space. EV infrastructure shall be provided up to the level that would not exceed this cost for utility service.</w:t>
      </w:r>
      <w:r w:rsidR="00B20530" w:rsidRPr="00B20530">
        <w:t xml:space="preserve"> </w:t>
      </w:r>
      <w:r w:rsidRPr="005A74CA">
        <w:rPr>
          <w:strike/>
        </w:rPr>
        <w:t>adversely impact the construction cost of the project.</w:t>
      </w:r>
    </w:p>
    <w:p w14:paraId="516B2AA9" w14:textId="5800E2B5" w:rsidR="005A74CA" w:rsidRPr="005A74CA" w:rsidRDefault="005907E0" w:rsidP="005A74CA">
      <w:pPr>
        <w:numPr>
          <w:ilvl w:val="0"/>
          <w:numId w:val="7"/>
        </w:numPr>
      </w:pPr>
      <w:r w:rsidRPr="005907E0">
        <w:rPr>
          <w:u w:val="single"/>
        </w:rPr>
        <w:t>Alterations that solely add Level 1 EV charging receptacles or Level 1 EV chargers, and no other addition or alteration is performed.</w:t>
      </w:r>
      <w:r>
        <w:t xml:space="preserve"> </w:t>
      </w:r>
      <w:r w:rsidR="005A74CA" w:rsidRPr="005A74CA">
        <w:rPr>
          <w:strike/>
        </w:rPr>
        <w:t>Parking spaces accessible only by automated mechanical car parking systems are not required to comply with this code section.</w:t>
      </w:r>
    </w:p>
    <w:p w14:paraId="2DFF0862" w14:textId="77777777" w:rsidR="00636004" w:rsidRDefault="00636004" w:rsidP="005A74CA">
      <w:pPr>
        <w:rPr>
          <w:b/>
          <w:bCs/>
        </w:rPr>
      </w:pPr>
    </w:p>
    <w:p w14:paraId="078B1726" w14:textId="383D980D" w:rsidR="005A74CA" w:rsidRPr="005A74CA" w:rsidRDefault="005A74CA" w:rsidP="00C847B0">
      <w:pPr>
        <w:ind w:left="360"/>
        <w:rPr>
          <w:b/>
          <w:bCs/>
        </w:rPr>
      </w:pPr>
      <w:r w:rsidRPr="005A74CA">
        <w:rPr>
          <w:b/>
          <w:bCs/>
        </w:rPr>
        <w:t>5.106.5.3.1 EV capable spaces.</w:t>
      </w:r>
    </w:p>
    <w:p w14:paraId="7E03C05A" w14:textId="2588433A" w:rsidR="005A74CA" w:rsidRPr="005A74CA" w:rsidRDefault="005A74CA" w:rsidP="00C847B0">
      <w:pPr>
        <w:ind w:left="360"/>
      </w:pPr>
      <w:r w:rsidRPr="005A74CA">
        <w:rPr>
          <w:b/>
          <w:bCs/>
        </w:rPr>
        <w:t>[N]</w:t>
      </w:r>
      <w:r w:rsidRPr="005A74CA">
        <w:t> EV capable spaces shall be provided in accordance with </w:t>
      </w:r>
      <w:r w:rsidRPr="00083906">
        <w:t>Table 5.106.5.3.1</w:t>
      </w:r>
      <w:r w:rsidRPr="005A74CA">
        <w:t> and the following requirements:</w:t>
      </w:r>
    </w:p>
    <w:p w14:paraId="70F73BB2" w14:textId="18C314E2" w:rsidR="005A74CA" w:rsidRPr="005A74CA" w:rsidRDefault="005A74CA" w:rsidP="00C847B0">
      <w:pPr>
        <w:numPr>
          <w:ilvl w:val="0"/>
          <w:numId w:val="8"/>
        </w:numPr>
        <w:tabs>
          <w:tab w:val="clear" w:pos="720"/>
          <w:tab w:val="num" w:pos="1080"/>
        </w:tabs>
        <w:ind w:left="1080"/>
      </w:pPr>
      <w:r w:rsidRPr="005A74CA">
        <w:t>Raceways complying with the </w:t>
      </w:r>
      <w:r w:rsidRPr="005A74CA">
        <w:rPr>
          <w:i/>
          <w:iCs/>
        </w:rPr>
        <w:t>California Electrical Code</w:t>
      </w:r>
      <w:r w:rsidRPr="005A74CA">
        <w:t>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57BA175F" w14:textId="4914CE55" w:rsidR="005A74CA" w:rsidRPr="005A74CA" w:rsidRDefault="005A74CA" w:rsidP="00C847B0">
      <w:pPr>
        <w:numPr>
          <w:ilvl w:val="0"/>
          <w:numId w:val="8"/>
        </w:numPr>
        <w:tabs>
          <w:tab w:val="clear" w:pos="720"/>
          <w:tab w:val="num" w:pos="1080"/>
        </w:tabs>
        <w:ind w:left="1080"/>
      </w:pPr>
      <w:r w:rsidRPr="005A74CA">
        <w:t>A service panel or subpanel(s) shall be provided with panel space and electrical load capacity for a dedicated 208/240 volt, 40-ampere minimum branch circuit for each EV capable space, with delivery of 30-ampere minimum to an installed EVSE at each EVCS.</w:t>
      </w:r>
    </w:p>
    <w:p w14:paraId="191F6D28" w14:textId="2ED8E3E1" w:rsidR="005A74CA" w:rsidRPr="005A74CA" w:rsidRDefault="005A74CA" w:rsidP="00C847B0">
      <w:pPr>
        <w:numPr>
          <w:ilvl w:val="0"/>
          <w:numId w:val="8"/>
        </w:numPr>
        <w:tabs>
          <w:tab w:val="clear" w:pos="720"/>
          <w:tab w:val="num" w:pos="1080"/>
        </w:tabs>
        <w:ind w:left="1080"/>
      </w:pPr>
      <w:r w:rsidRPr="005A74CA">
        <w:lastRenderedPageBreak/>
        <w:t>The electrical system and any on-site distribution transformers shall have sufficient capacity to supply full rated amperage at each EV capable space.</w:t>
      </w:r>
    </w:p>
    <w:p w14:paraId="65AB629C" w14:textId="2832F5EC" w:rsidR="005A74CA" w:rsidRPr="005A74CA" w:rsidRDefault="005A74CA" w:rsidP="00C847B0">
      <w:pPr>
        <w:numPr>
          <w:ilvl w:val="0"/>
          <w:numId w:val="8"/>
        </w:numPr>
        <w:tabs>
          <w:tab w:val="clear" w:pos="720"/>
          <w:tab w:val="num" w:pos="1080"/>
        </w:tabs>
        <w:ind w:left="1080"/>
      </w:pPr>
      <w:r w:rsidRPr="005A74CA">
        <w:t>The service panel or subpanel circuit directory shall identify the reserved overcurrent protective device space(s) as “EV CAPABLE”. The raceway termination location shall be permanently and visibly marked as “EV CAPABLE.”</w:t>
      </w:r>
    </w:p>
    <w:p w14:paraId="7AF2D4A8" w14:textId="77777777" w:rsidR="005A74CA" w:rsidRPr="005A74CA" w:rsidRDefault="005A74CA" w:rsidP="00C847B0">
      <w:pPr>
        <w:ind w:left="720"/>
      </w:pPr>
      <w:r w:rsidRPr="005A74CA">
        <w:rPr>
          <w:b/>
          <w:bCs/>
        </w:rPr>
        <w:t>Note:</w:t>
      </w:r>
      <w:r w:rsidRPr="005A74CA">
        <w:t>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1EABF283" w14:textId="77777777" w:rsidR="005A74CA" w:rsidRDefault="005A74CA" w:rsidP="00C847B0">
      <w:pPr>
        <w:ind w:left="360"/>
        <w:rPr>
          <w:b/>
          <w:bCs/>
        </w:rPr>
      </w:pPr>
      <w:r w:rsidRPr="005A74CA">
        <w:rPr>
          <w:b/>
          <w:bCs/>
        </w:rPr>
        <w:t>TABLE 5.106.5.3.1</w:t>
      </w:r>
    </w:p>
    <w:tbl>
      <w:tblPr>
        <w:tblW w:w="927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74"/>
        <w:gridCol w:w="2359"/>
        <w:gridCol w:w="2359"/>
        <w:gridCol w:w="2279"/>
      </w:tblGrid>
      <w:tr w:rsidR="006539CA" w:rsidRPr="005A74CA" w14:paraId="38A62080"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E2363EC" w14:textId="48E8CE89" w:rsidR="006539CA" w:rsidRPr="005A74CA" w:rsidRDefault="006539CA" w:rsidP="00102C63">
            <w:pPr>
              <w:jc w:val="center"/>
              <w:rPr>
                <w:b/>
                <w:bCs/>
                <w:u w:val="single"/>
              </w:rPr>
            </w:pPr>
            <w:r w:rsidRPr="00802E23">
              <w:rPr>
                <w:b/>
                <w:bCs/>
                <w:u w:val="single"/>
              </w:rPr>
              <w:t>FACILITY TYPE</w:t>
            </w:r>
          </w:p>
        </w:tc>
        <w:tc>
          <w:tcPr>
            <w:tcW w:w="2359" w:type="dxa"/>
            <w:tcBorders>
              <w:top w:val="single" w:sz="6" w:space="0" w:color="CCCCCC"/>
              <w:left w:val="single" w:sz="6" w:space="0" w:color="CCCCCC"/>
              <w:bottom w:val="single" w:sz="6" w:space="0" w:color="CCCCCC"/>
              <w:right w:val="single" w:sz="6" w:space="0" w:color="CCCCCC"/>
            </w:tcBorders>
          </w:tcPr>
          <w:p w14:paraId="2C10BB79" w14:textId="703BB16A" w:rsidR="006539CA" w:rsidRPr="005A74CA" w:rsidRDefault="00CE2D19" w:rsidP="00102C63">
            <w:pPr>
              <w:jc w:val="center"/>
              <w:rPr>
                <w:b/>
                <w:bCs/>
                <w:u w:val="single"/>
              </w:rPr>
            </w:pPr>
            <w:r>
              <w:rPr>
                <w:b/>
                <w:bCs/>
                <w:u w:val="single"/>
              </w:rPr>
              <w:t>NUMBER OF REQUIRED EV CAPABLE OR EVCS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BD20E5" w14:textId="389AF75F" w:rsidR="006539CA" w:rsidRPr="005A74CA" w:rsidRDefault="006539CA" w:rsidP="00102C63">
            <w:pPr>
              <w:jc w:val="center"/>
              <w:rPr>
                <w:u w:val="single"/>
              </w:rPr>
            </w:pPr>
            <w:r w:rsidRPr="005A74CA">
              <w:rPr>
                <w:b/>
                <w:bCs/>
                <w:u w:val="single"/>
              </w:rPr>
              <w:t>NUMBER OF</w:t>
            </w:r>
            <w:r w:rsidRPr="00802E23">
              <w:rPr>
                <w:b/>
                <w:bCs/>
                <w:u w:val="single"/>
              </w:rPr>
              <w:t xml:space="preserve"> </w:t>
            </w:r>
            <w:r w:rsidRPr="005A74CA">
              <w:rPr>
                <w:b/>
                <w:bCs/>
                <w:u w:val="single"/>
              </w:rPr>
              <w:t>REQUIRED EV</w:t>
            </w:r>
            <w:r w:rsidRPr="00802E23">
              <w:rPr>
                <w:b/>
                <w:bCs/>
                <w:u w:val="single"/>
              </w:rPr>
              <w:t xml:space="preserve"> </w:t>
            </w:r>
            <w:r w:rsidRPr="005A74CA">
              <w:rPr>
                <w:b/>
                <w:bCs/>
                <w:u w:val="single"/>
              </w:rPr>
              <w:t>CAPABLE SPACES</w:t>
            </w:r>
            <w:r w:rsidRPr="00802E23">
              <w:rPr>
                <w:b/>
                <w:bCs/>
                <w:u w:val="single"/>
                <w:vertAlign w:val="superscript"/>
              </w:rPr>
              <w:t>1</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3C9854" w14:textId="57721D2F" w:rsidR="006539CA" w:rsidRPr="005A74CA" w:rsidRDefault="006539CA" w:rsidP="00102C63">
            <w:pPr>
              <w:jc w:val="center"/>
              <w:rPr>
                <w:u w:val="single"/>
              </w:rPr>
            </w:pPr>
            <w:r w:rsidRPr="005A74CA">
              <w:rPr>
                <w:b/>
                <w:bCs/>
                <w:u w:val="single"/>
              </w:rPr>
              <w:t xml:space="preserve">NUMBER OF </w:t>
            </w:r>
            <w:r w:rsidRPr="00802E23">
              <w:rPr>
                <w:b/>
                <w:bCs/>
                <w:u w:val="single"/>
              </w:rPr>
              <w:t xml:space="preserve">REQUIRED </w:t>
            </w:r>
            <w:r w:rsidRPr="005A74CA">
              <w:rPr>
                <w:b/>
                <w:bCs/>
                <w:u w:val="single"/>
              </w:rPr>
              <w:t>EVCS</w:t>
            </w:r>
            <w:r w:rsidRPr="00802E23">
              <w:rPr>
                <w:b/>
                <w:bCs/>
                <w:u w:val="single"/>
                <w:vertAlign w:val="superscript"/>
              </w:rPr>
              <w:t>1,2</w:t>
            </w:r>
          </w:p>
        </w:tc>
      </w:tr>
      <w:tr w:rsidR="006539CA" w:rsidRPr="005A74CA" w14:paraId="2BB0DB64"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39AC89" w14:textId="6E57B4C9" w:rsidR="006539CA" w:rsidRPr="005A74CA" w:rsidRDefault="006539CA" w:rsidP="00102C63">
            <w:pPr>
              <w:jc w:val="center"/>
              <w:rPr>
                <w:u w:val="single"/>
              </w:rPr>
            </w:pPr>
            <w:r w:rsidRPr="00802E23">
              <w:rPr>
                <w:u w:val="single"/>
              </w:rPr>
              <w:t>Office &amp; Retail</w:t>
            </w:r>
          </w:p>
        </w:tc>
        <w:tc>
          <w:tcPr>
            <w:tcW w:w="2359" w:type="dxa"/>
            <w:tcBorders>
              <w:top w:val="single" w:sz="6" w:space="0" w:color="CCCCCC"/>
              <w:left w:val="single" w:sz="6" w:space="0" w:color="CCCCCC"/>
              <w:bottom w:val="single" w:sz="6" w:space="0" w:color="CCCCCC"/>
              <w:right w:val="single" w:sz="6" w:space="0" w:color="CCCCCC"/>
            </w:tcBorders>
          </w:tcPr>
          <w:p w14:paraId="1714C76E" w14:textId="40C29DE2" w:rsidR="006539CA" w:rsidRPr="00802E23" w:rsidDel="002D7E8A"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9CDC09" w14:textId="077DDF45" w:rsidR="006539CA" w:rsidRPr="005A74CA" w:rsidRDefault="006539CA" w:rsidP="00102C63">
            <w:pPr>
              <w:jc w:val="center"/>
              <w:rPr>
                <w:u w:val="single"/>
              </w:rPr>
            </w:pPr>
            <w:r>
              <w:rPr>
                <w:u w:val="single"/>
              </w:rPr>
              <w:t>11</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B21E10" w14:textId="449A6801" w:rsidR="006539CA" w:rsidRPr="005A74CA" w:rsidRDefault="006539CA" w:rsidP="00102C63">
            <w:pPr>
              <w:jc w:val="center"/>
              <w:rPr>
                <w:u w:val="single"/>
              </w:rPr>
            </w:pPr>
            <w:r>
              <w:rPr>
                <w:u w:val="single"/>
              </w:rPr>
              <w:t>34</w:t>
            </w:r>
            <w:r w:rsidRPr="00802E23">
              <w:rPr>
                <w:u w:val="single"/>
              </w:rPr>
              <w:t>% of actual parking spaces</w:t>
            </w:r>
          </w:p>
        </w:tc>
      </w:tr>
      <w:tr w:rsidR="006539CA" w:rsidRPr="005A74CA" w14:paraId="324AE9C8"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DD544F" w14:textId="28A14728" w:rsidR="006539CA" w:rsidRPr="005A74CA" w:rsidRDefault="006539CA" w:rsidP="00102C63">
            <w:pPr>
              <w:jc w:val="center"/>
              <w:rPr>
                <w:u w:val="single"/>
              </w:rPr>
            </w:pPr>
            <w:r w:rsidRPr="00802E23">
              <w:rPr>
                <w:u w:val="single"/>
              </w:rPr>
              <w:t>All Other</w:t>
            </w:r>
          </w:p>
        </w:tc>
        <w:tc>
          <w:tcPr>
            <w:tcW w:w="2359" w:type="dxa"/>
            <w:tcBorders>
              <w:top w:val="single" w:sz="6" w:space="0" w:color="CCCCCC"/>
              <w:left w:val="single" w:sz="6" w:space="0" w:color="CCCCCC"/>
              <w:bottom w:val="single" w:sz="6" w:space="0" w:color="CCCCCC"/>
              <w:right w:val="single" w:sz="6" w:space="0" w:color="CCCCCC"/>
            </w:tcBorders>
          </w:tcPr>
          <w:p w14:paraId="39964110" w14:textId="5949FCCA" w:rsidR="006539CA" w:rsidRPr="00802E23" w:rsidDel="00540756"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7F83164" w14:textId="4DAE0C87" w:rsidR="006539CA" w:rsidRPr="005A74CA" w:rsidRDefault="006539CA" w:rsidP="00102C63">
            <w:pPr>
              <w:jc w:val="center"/>
              <w:rPr>
                <w:u w:val="single"/>
              </w:rPr>
            </w:pPr>
            <w:r>
              <w:rPr>
                <w:u w:val="single"/>
              </w:rPr>
              <w:t>22</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78BA93C" w14:textId="4C42B416" w:rsidR="006539CA" w:rsidRPr="005A74CA" w:rsidRDefault="006539CA" w:rsidP="00102C63">
            <w:pPr>
              <w:jc w:val="center"/>
              <w:rPr>
                <w:u w:val="single"/>
              </w:rPr>
            </w:pPr>
            <w:r>
              <w:rPr>
                <w:u w:val="single"/>
              </w:rPr>
              <w:t>23</w:t>
            </w:r>
            <w:r w:rsidRPr="00802E23">
              <w:rPr>
                <w:u w:val="single"/>
              </w:rPr>
              <w:t>% of actual parking spaces</w:t>
            </w:r>
          </w:p>
        </w:tc>
      </w:tr>
    </w:tbl>
    <w:p w14:paraId="4CC6E5FA" w14:textId="77777777" w:rsidR="00EB0988" w:rsidRPr="005A74CA" w:rsidRDefault="00EB0988" w:rsidP="00EB0988">
      <w:pPr>
        <w:numPr>
          <w:ilvl w:val="0"/>
          <w:numId w:val="10"/>
        </w:numPr>
        <w:rPr>
          <w:sz w:val="18"/>
          <w:szCs w:val="18"/>
          <w:u w:val="single"/>
        </w:rPr>
      </w:pPr>
      <w:r w:rsidRPr="005A74CA">
        <w:rPr>
          <w:sz w:val="18"/>
          <w:szCs w:val="18"/>
          <w:u w:val="single"/>
        </w:rPr>
        <w:t>Calculation for spaces shall be rounded up to the nearest whole number.</w:t>
      </w:r>
    </w:p>
    <w:p w14:paraId="713CC2E5" w14:textId="599DCA70" w:rsidR="00EB0988" w:rsidRPr="005A74CA" w:rsidRDefault="00EB0988" w:rsidP="00EB0988">
      <w:pPr>
        <w:numPr>
          <w:ilvl w:val="0"/>
          <w:numId w:val="10"/>
        </w:numPr>
        <w:rPr>
          <w:sz w:val="18"/>
          <w:szCs w:val="18"/>
          <w:u w:val="single"/>
        </w:rPr>
      </w:pPr>
      <w:r w:rsidRPr="005A74CA">
        <w:rPr>
          <w:sz w:val="18"/>
          <w:szCs w:val="18"/>
          <w:u w:val="single"/>
        </w:rPr>
        <w:t>At least one Level 2</w:t>
      </w:r>
      <w:r w:rsidR="00854F5D">
        <w:rPr>
          <w:sz w:val="18"/>
          <w:szCs w:val="18"/>
          <w:u w:val="single"/>
        </w:rPr>
        <w:t xml:space="preserve"> </w:t>
      </w:r>
      <w:r w:rsidRPr="005A74CA">
        <w:rPr>
          <w:sz w:val="18"/>
          <w:szCs w:val="18"/>
          <w:u w:val="single"/>
        </w:rPr>
        <w:t>EVSE shall be provided.</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04"/>
        <w:gridCol w:w="2304"/>
        <w:gridCol w:w="2304"/>
      </w:tblGrid>
      <w:tr w:rsidR="00802E23" w:rsidRPr="00EB0988" w14:paraId="3C6CB959" w14:textId="69529095"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835A90" w14:textId="15904220" w:rsidR="00802E23" w:rsidRPr="00CC4E48" w:rsidRDefault="00802E23" w:rsidP="00730BBD">
            <w:pPr>
              <w:jc w:val="center"/>
              <w:rPr>
                <w:strike/>
              </w:rPr>
            </w:pPr>
            <w:r w:rsidRPr="00CC4E48">
              <w:rPr>
                <w:b/>
                <w:bCs/>
                <w:strike/>
              </w:rPr>
              <w:t>TOTAL NUMBER OF ACTUAL PARKING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363162" w14:textId="5D118A2B" w:rsidR="00802E23" w:rsidRPr="00CC4E48" w:rsidRDefault="00802E23" w:rsidP="00730BBD">
            <w:pPr>
              <w:jc w:val="center"/>
              <w:rPr>
                <w:strike/>
              </w:rPr>
            </w:pPr>
            <w:r w:rsidRPr="00CC4E48">
              <w:rPr>
                <w:b/>
                <w:bCs/>
                <w:strike/>
              </w:rPr>
              <w:t>NUMBER OF REQUIRED EV CAPABLE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9116C18" w14:textId="48A9F654" w:rsidR="00802E23" w:rsidRPr="00CC4E48" w:rsidRDefault="00802E23" w:rsidP="00730BBD">
            <w:pPr>
              <w:jc w:val="center"/>
              <w:rPr>
                <w:strike/>
              </w:rPr>
            </w:pPr>
            <w:r w:rsidRPr="00CC4E48">
              <w:rPr>
                <w:b/>
                <w:bCs/>
                <w:strike/>
              </w:rPr>
              <w:t>NUMBER OF EVCS (EV CAPABLE SPACES PROVIDED WITH EVSE)</w:t>
            </w:r>
            <w:r w:rsidRPr="00CC4E48">
              <w:rPr>
                <w:b/>
                <w:bCs/>
                <w:strike/>
                <w:vertAlign w:val="superscript"/>
              </w:rPr>
              <w:t>2, 3</w:t>
            </w:r>
          </w:p>
        </w:tc>
      </w:tr>
      <w:tr w:rsidR="00802E23" w:rsidRPr="00EB0988" w14:paraId="6B237F94" w14:textId="4A81C361"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20F6300" w14:textId="77777777" w:rsidR="00802E23" w:rsidRPr="00CC4E48" w:rsidRDefault="00802E23" w:rsidP="00730BBD">
            <w:pPr>
              <w:jc w:val="center"/>
              <w:rPr>
                <w:strike/>
              </w:rPr>
            </w:pPr>
            <w:r w:rsidRPr="00CC4E48">
              <w:rPr>
                <w:strike/>
              </w:rPr>
              <w:t>0–9</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355BE69" w14:textId="77777777" w:rsidR="00802E23" w:rsidRPr="00CC4E48" w:rsidRDefault="00802E23" w:rsidP="00730BBD">
            <w:pPr>
              <w:jc w:val="center"/>
              <w:rPr>
                <w:strike/>
              </w:rPr>
            </w:pPr>
            <w:r w:rsidRPr="00CC4E48">
              <w:rPr>
                <w:strike/>
              </w:rPr>
              <w:t>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767997" w14:textId="77777777" w:rsidR="00802E23" w:rsidRPr="00CC4E48" w:rsidRDefault="00802E23" w:rsidP="00730BBD">
            <w:pPr>
              <w:jc w:val="center"/>
              <w:rPr>
                <w:strike/>
              </w:rPr>
            </w:pPr>
            <w:r w:rsidRPr="00CC4E48">
              <w:rPr>
                <w:strike/>
              </w:rPr>
              <w:t>0</w:t>
            </w:r>
          </w:p>
        </w:tc>
      </w:tr>
      <w:tr w:rsidR="00802E23" w:rsidRPr="00EB0988" w14:paraId="33324B07" w14:textId="38052C7B"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BE235EB" w14:textId="77777777" w:rsidR="00802E23" w:rsidRPr="00CC4E48" w:rsidRDefault="00802E23" w:rsidP="00730BBD">
            <w:pPr>
              <w:jc w:val="center"/>
              <w:rPr>
                <w:strike/>
              </w:rPr>
            </w:pPr>
            <w:r w:rsidRPr="00CC4E48">
              <w:rPr>
                <w:strike/>
              </w:rPr>
              <w:t>10–25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3B5A9A" w14:textId="77777777" w:rsidR="00802E23" w:rsidRPr="00CC4E48" w:rsidRDefault="00802E23" w:rsidP="00730BBD">
            <w:pPr>
              <w:jc w:val="center"/>
              <w:rPr>
                <w:strike/>
              </w:rPr>
            </w:pPr>
            <w:r w:rsidRPr="00CC4E48">
              <w:rPr>
                <w:strike/>
              </w:rPr>
              <w:t>4</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0FA4CE" w14:textId="49A9C605" w:rsidR="00802E23" w:rsidRPr="00CC4E48" w:rsidRDefault="00802E23" w:rsidP="00730BBD">
            <w:pPr>
              <w:jc w:val="center"/>
              <w:rPr>
                <w:strike/>
              </w:rPr>
            </w:pPr>
            <w:r w:rsidRPr="00CC4E48">
              <w:rPr>
                <w:strike/>
              </w:rPr>
              <w:t>0</w:t>
            </w:r>
          </w:p>
        </w:tc>
      </w:tr>
      <w:tr w:rsidR="00802E23" w:rsidRPr="00EB0988" w14:paraId="3B8C00D2" w14:textId="768B5F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B751D5E" w14:textId="77777777" w:rsidR="00802E23" w:rsidRPr="00CC4E48" w:rsidRDefault="00802E23" w:rsidP="00730BBD">
            <w:pPr>
              <w:jc w:val="center"/>
              <w:rPr>
                <w:strike/>
              </w:rPr>
            </w:pPr>
            <w:r w:rsidRPr="00CC4E48">
              <w:rPr>
                <w:strike/>
              </w:rPr>
              <w:t>26–50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6F4601C" w14:textId="77777777" w:rsidR="00802E23" w:rsidRPr="00CC4E48" w:rsidRDefault="00802E23" w:rsidP="00730BBD">
            <w:pPr>
              <w:jc w:val="center"/>
              <w:rPr>
                <w:strike/>
              </w:rPr>
            </w:pPr>
            <w:r w:rsidRPr="00CC4E48">
              <w:rPr>
                <w:strike/>
              </w:rPr>
              <w:t>8</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17FE85" w14:textId="594A4098" w:rsidR="00802E23" w:rsidRPr="00CC4E48" w:rsidRDefault="00802E23" w:rsidP="00730BBD">
            <w:pPr>
              <w:jc w:val="center"/>
              <w:rPr>
                <w:strike/>
                <w:u w:val="single"/>
              </w:rPr>
            </w:pPr>
            <w:r w:rsidRPr="00CC4E48">
              <w:rPr>
                <w:strike/>
              </w:rPr>
              <w:t>2</w:t>
            </w:r>
          </w:p>
        </w:tc>
      </w:tr>
      <w:tr w:rsidR="00802E23" w:rsidRPr="00EB0988" w14:paraId="148835AD" w14:textId="5801618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5083D3A" w14:textId="77777777" w:rsidR="00802E23" w:rsidRPr="00CC4E48" w:rsidRDefault="00802E23" w:rsidP="00730BBD">
            <w:pPr>
              <w:jc w:val="center"/>
              <w:rPr>
                <w:strike/>
              </w:rPr>
            </w:pPr>
            <w:r w:rsidRPr="00CC4E48">
              <w:rPr>
                <w:strike/>
              </w:rPr>
              <w:t>51–75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2191BE" w14:textId="77777777" w:rsidR="00802E23" w:rsidRPr="00CC4E48" w:rsidRDefault="00802E23" w:rsidP="00730BBD">
            <w:pPr>
              <w:jc w:val="center"/>
              <w:rPr>
                <w:strike/>
              </w:rPr>
            </w:pPr>
            <w:r w:rsidRPr="00CC4E48">
              <w:rPr>
                <w:strike/>
              </w:rPr>
              <w:t>13</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E0FE4A" w14:textId="6D75ADFD" w:rsidR="00802E23" w:rsidRPr="00CC4E48" w:rsidRDefault="00802E23" w:rsidP="00730BBD">
            <w:pPr>
              <w:jc w:val="center"/>
              <w:rPr>
                <w:strike/>
                <w:u w:val="single"/>
              </w:rPr>
            </w:pPr>
            <w:r w:rsidRPr="00CC4E48">
              <w:rPr>
                <w:strike/>
              </w:rPr>
              <w:t>3</w:t>
            </w:r>
          </w:p>
        </w:tc>
      </w:tr>
      <w:tr w:rsidR="00802E23" w:rsidRPr="00EB0988" w14:paraId="6061A3B7" w14:textId="085D6A4E"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87FEAB0" w14:textId="77777777" w:rsidR="00802E23" w:rsidRPr="00CC4E48" w:rsidRDefault="00802E23" w:rsidP="00730BBD">
            <w:pPr>
              <w:jc w:val="center"/>
              <w:rPr>
                <w:strike/>
              </w:rPr>
            </w:pPr>
            <w:r w:rsidRPr="00CC4E48">
              <w:rPr>
                <w:strike/>
              </w:rPr>
              <w:t>76–100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5B4EA8" w14:textId="77777777" w:rsidR="00802E23" w:rsidRPr="00CC4E48" w:rsidRDefault="00802E23" w:rsidP="00730BBD">
            <w:pPr>
              <w:jc w:val="center"/>
              <w:rPr>
                <w:strike/>
              </w:rPr>
            </w:pPr>
            <w:r w:rsidRPr="00CC4E48">
              <w:rPr>
                <w:strike/>
              </w:rPr>
              <w:t>17</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E57260" w14:textId="6FBAA93E" w:rsidR="00802E23" w:rsidRPr="00CC4E48" w:rsidRDefault="00802E23" w:rsidP="00730BBD">
            <w:pPr>
              <w:jc w:val="center"/>
              <w:rPr>
                <w:strike/>
                <w:u w:val="single"/>
              </w:rPr>
            </w:pPr>
            <w:r w:rsidRPr="00CC4E48">
              <w:rPr>
                <w:strike/>
              </w:rPr>
              <w:t>4</w:t>
            </w:r>
          </w:p>
        </w:tc>
      </w:tr>
      <w:tr w:rsidR="00802E23" w:rsidRPr="00EB0988" w14:paraId="6B5F6457" w14:textId="6EF0045D"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CD29154" w14:textId="77777777" w:rsidR="00802E23" w:rsidRPr="00CC4E48" w:rsidRDefault="00802E23" w:rsidP="00730BBD">
            <w:pPr>
              <w:jc w:val="center"/>
              <w:rPr>
                <w:strike/>
              </w:rPr>
            </w:pPr>
            <w:r w:rsidRPr="00CC4E48">
              <w:rPr>
                <w:strike/>
              </w:rPr>
              <w:t>101–150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51E01EE" w14:textId="77777777" w:rsidR="00802E23" w:rsidRPr="00CC4E48" w:rsidRDefault="00802E23" w:rsidP="00730BBD">
            <w:pPr>
              <w:jc w:val="center"/>
              <w:rPr>
                <w:strike/>
              </w:rPr>
            </w:pPr>
            <w:r w:rsidRPr="00CC4E48">
              <w:rPr>
                <w:strike/>
              </w:rPr>
              <w:t>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B3CED0F" w14:textId="247F5304" w:rsidR="00802E23" w:rsidRPr="00CC4E48" w:rsidRDefault="00802E23" w:rsidP="00730BBD">
            <w:pPr>
              <w:jc w:val="center"/>
              <w:rPr>
                <w:strike/>
                <w:u w:val="single"/>
              </w:rPr>
            </w:pPr>
            <w:r w:rsidRPr="00CC4E48">
              <w:rPr>
                <w:strike/>
              </w:rPr>
              <w:t>6</w:t>
            </w:r>
          </w:p>
        </w:tc>
      </w:tr>
      <w:tr w:rsidR="00802E23" w:rsidRPr="00EB0988" w14:paraId="31CCD7B2" w14:textId="28F1A35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993C3D" w14:textId="77777777" w:rsidR="00802E23" w:rsidRPr="00CC4E48" w:rsidRDefault="00802E23" w:rsidP="00730BBD">
            <w:pPr>
              <w:jc w:val="center"/>
              <w:rPr>
                <w:strike/>
              </w:rPr>
            </w:pPr>
            <w:r w:rsidRPr="00CC4E48">
              <w:rPr>
                <w:strike/>
              </w:rPr>
              <w:t>151–200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A8D9E3" w14:textId="77777777" w:rsidR="00802E23" w:rsidRPr="00CC4E48" w:rsidRDefault="00802E23" w:rsidP="00730BBD">
            <w:pPr>
              <w:jc w:val="center"/>
              <w:rPr>
                <w:strike/>
              </w:rPr>
            </w:pPr>
            <w:r w:rsidRPr="00CC4E48">
              <w:rPr>
                <w:strike/>
              </w:rPr>
              <w:t>35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2BB9841" w14:textId="65851C85" w:rsidR="00802E23" w:rsidRPr="00CC4E48" w:rsidRDefault="00802E23" w:rsidP="00730BBD">
            <w:pPr>
              <w:jc w:val="center"/>
              <w:rPr>
                <w:strike/>
                <w:u w:val="single"/>
              </w:rPr>
            </w:pPr>
            <w:r w:rsidRPr="00CC4E48">
              <w:rPr>
                <w:strike/>
              </w:rPr>
              <w:t>9</w:t>
            </w:r>
          </w:p>
        </w:tc>
      </w:tr>
      <w:tr w:rsidR="00802E23" w:rsidRPr="00EB0988" w14:paraId="119DE2FE" w14:textId="4D861C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A7B9897" w14:textId="77777777" w:rsidR="00802E23" w:rsidRPr="005A74CA" w:rsidRDefault="00802E23" w:rsidP="00730BBD">
            <w:pPr>
              <w:jc w:val="center"/>
              <w:rPr>
                <w:strike/>
              </w:rPr>
            </w:pPr>
            <w:r w:rsidRPr="005A74CA">
              <w:rPr>
                <w:strike/>
              </w:rPr>
              <w:lastRenderedPageBreak/>
              <w:t>201 and over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29992EE" w14:textId="77777777" w:rsidR="00802E23" w:rsidRPr="005A74CA" w:rsidRDefault="00802E23" w:rsidP="00730BBD">
            <w:pPr>
              <w:jc w:val="center"/>
              <w:rPr>
                <w:strike/>
              </w:rPr>
            </w:pPr>
            <w:r w:rsidRPr="005A74CA">
              <w:rPr>
                <w:strike/>
              </w:rPr>
              <w:t>20 percent of actual parking spaces</w:t>
            </w:r>
            <w:r w:rsidRPr="005A74CA">
              <w:rPr>
                <w:strike/>
                <w:vertAlign w:val="superscript"/>
              </w:rPr>
              <w:t>1</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A65F2C" w14:textId="5697F4F2" w:rsidR="00802E23" w:rsidRPr="005A74CA" w:rsidRDefault="00802E23" w:rsidP="00730BBD">
            <w:pPr>
              <w:jc w:val="center"/>
              <w:rPr>
                <w:strike/>
              </w:rPr>
            </w:pPr>
            <w:r w:rsidRPr="005A74CA">
              <w:rPr>
                <w:strike/>
              </w:rPr>
              <w:t>25 percent of EV capable spaces</w:t>
            </w:r>
            <w:r w:rsidRPr="005A74CA">
              <w:rPr>
                <w:strike/>
                <w:vertAlign w:val="superscript"/>
              </w:rPr>
              <w:t>1</w:t>
            </w:r>
          </w:p>
        </w:tc>
      </w:tr>
    </w:tbl>
    <w:p w14:paraId="7119F31A" w14:textId="73D01E55" w:rsidR="005A74CA" w:rsidRPr="005A74CA" w:rsidRDefault="005A74CA" w:rsidP="005A74CA">
      <w:pPr>
        <w:numPr>
          <w:ilvl w:val="0"/>
          <w:numId w:val="10"/>
        </w:numPr>
        <w:rPr>
          <w:strike/>
          <w:sz w:val="18"/>
          <w:szCs w:val="18"/>
        </w:rPr>
      </w:pPr>
      <w:r w:rsidRPr="005A74CA">
        <w:rPr>
          <w:strike/>
          <w:sz w:val="18"/>
          <w:szCs w:val="18"/>
        </w:rPr>
        <w:t>Calculation for spaces shall be rounded up to the nearest whole number.</w:t>
      </w:r>
    </w:p>
    <w:p w14:paraId="0B901B91" w14:textId="2DE6534A" w:rsidR="005A74CA" w:rsidRPr="005A74CA" w:rsidRDefault="005A74CA" w:rsidP="00965A46">
      <w:pPr>
        <w:numPr>
          <w:ilvl w:val="0"/>
          <w:numId w:val="10"/>
        </w:numPr>
        <w:rPr>
          <w:strike/>
          <w:sz w:val="18"/>
          <w:szCs w:val="18"/>
        </w:rPr>
      </w:pPr>
      <w:r w:rsidRPr="005A74CA">
        <w:rPr>
          <w:strike/>
          <w:sz w:val="18"/>
          <w:szCs w:val="18"/>
        </w:rPr>
        <w:t>The number of required EVCS (EV capable spaces provided with EVSE) in column 3 count toward the total number of required EV capable spaces shown in column 2.</w:t>
      </w:r>
    </w:p>
    <w:p w14:paraId="327E4B8A" w14:textId="5A56FF42" w:rsidR="005A74CA" w:rsidRPr="005A74CA" w:rsidRDefault="005A74CA" w:rsidP="005A74CA">
      <w:pPr>
        <w:numPr>
          <w:ilvl w:val="0"/>
          <w:numId w:val="10"/>
        </w:numPr>
        <w:rPr>
          <w:strike/>
          <w:sz w:val="18"/>
          <w:szCs w:val="18"/>
        </w:rPr>
      </w:pPr>
      <w:r w:rsidRPr="005A74CA">
        <w:rPr>
          <w:strike/>
          <w:sz w:val="18"/>
          <w:szCs w:val="18"/>
        </w:rPr>
        <w:t>At least one Level 2 EVSE shall be provided.</w:t>
      </w:r>
    </w:p>
    <w:p w14:paraId="2ECB8334" w14:textId="77777777" w:rsidR="002B33C9" w:rsidRDefault="002B33C9" w:rsidP="005A74CA">
      <w:pPr>
        <w:rPr>
          <w:b/>
          <w:bCs/>
        </w:rPr>
      </w:pPr>
    </w:p>
    <w:p w14:paraId="4600C681" w14:textId="3D3ED704" w:rsidR="005A74CA" w:rsidRPr="005A74CA" w:rsidRDefault="005A74CA" w:rsidP="00D61C3D">
      <w:pPr>
        <w:ind w:left="360"/>
        <w:rPr>
          <w:b/>
          <w:bCs/>
        </w:rPr>
      </w:pPr>
      <w:r w:rsidRPr="005A74CA">
        <w:rPr>
          <w:b/>
          <w:bCs/>
        </w:rPr>
        <w:t>5.106.5.3.2 Electric vehicle charging stations (EVCS).</w:t>
      </w:r>
    </w:p>
    <w:p w14:paraId="26CC0C4B" w14:textId="2ACCCDE0" w:rsidR="005A74CA" w:rsidRPr="005A74CA" w:rsidRDefault="005A74CA" w:rsidP="00D61C3D">
      <w:pPr>
        <w:ind w:left="360"/>
      </w:pPr>
      <w:r w:rsidRPr="005A74CA">
        <w:t>EV capable spaces shall be provided with electric vehicle supply equipment (EVSE) to create EVCS in the number indicated in </w:t>
      </w:r>
      <w:r w:rsidRPr="00196688">
        <w:t>Table 5.106.5.3.1</w:t>
      </w:r>
      <w:r w:rsidRPr="005A74CA">
        <w:t>. The EVCS required by </w:t>
      </w:r>
      <w:r w:rsidRPr="00196688">
        <w:t>Table 5.106.5.3.1</w:t>
      </w:r>
      <w:r w:rsidRPr="005A74CA">
        <w:t> shall be provided with Level 2 EVSE or DCFC as permitted in </w:t>
      </w:r>
      <w:r w:rsidRPr="00196688">
        <w:t>Section 5.106.5.3.2.1</w:t>
      </w:r>
      <w:r w:rsidRPr="005A74CA">
        <w:t>. At least one Level 2 EVSE shall be provided.</w:t>
      </w:r>
    </w:p>
    <w:p w14:paraId="7D007362" w14:textId="1E5BF647" w:rsidR="005A74CA" w:rsidRPr="005A74CA" w:rsidRDefault="005A74CA" w:rsidP="00D61C3D">
      <w:pPr>
        <w:ind w:left="360"/>
      </w:pPr>
      <w:r w:rsidRPr="005A74CA">
        <w:t>One EV charger with multiple connectors capable of charging multiple EVs simultaneously shall be permitted if the electrical load capacity required by </w:t>
      </w:r>
      <w:r w:rsidRPr="00196688">
        <w:t>Section 5.106.5.3.1</w:t>
      </w:r>
      <w:r w:rsidRPr="005A74CA">
        <w:t> for each EV capable space is accumulatively supplied to the EV charger.</w:t>
      </w:r>
    </w:p>
    <w:p w14:paraId="75B1E9D9" w14:textId="77777777" w:rsidR="00A158B1" w:rsidRPr="008A414F" w:rsidRDefault="00A158B1" w:rsidP="00A158B1">
      <w:pPr>
        <w:pStyle w:val="NoSpacing"/>
        <w:ind w:left="720"/>
        <w:rPr>
          <w:u w:val="single"/>
        </w:rPr>
      </w:pPr>
      <w:r w:rsidRPr="005A74CA">
        <w:rPr>
          <w:b/>
          <w:bCs/>
        </w:rPr>
        <w:t>5.106.5.3.2.1</w:t>
      </w:r>
      <w:r>
        <w:rPr>
          <w:b/>
          <w:bCs/>
        </w:rPr>
        <w:t xml:space="preserve"> </w:t>
      </w:r>
      <w:r w:rsidRPr="008A414F">
        <w:rPr>
          <w:b/>
          <w:bCs/>
          <w:u w:val="single"/>
        </w:rPr>
        <w:t xml:space="preserve">Receptacle Configurations. </w:t>
      </w:r>
      <w:r w:rsidRPr="008A414F">
        <w:rPr>
          <w:u w:val="single"/>
        </w:rPr>
        <w:t>208/240V EV charging receptacles</w:t>
      </w:r>
    </w:p>
    <w:p w14:paraId="4565229E" w14:textId="77777777" w:rsidR="00A158B1" w:rsidRPr="008A414F" w:rsidRDefault="00A158B1" w:rsidP="00A158B1">
      <w:pPr>
        <w:pStyle w:val="NoSpacing"/>
        <w:ind w:left="720"/>
        <w:rPr>
          <w:u w:val="single"/>
        </w:rPr>
      </w:pPr>
      <w:r w:rsidRPr="008A414F">
        <w:rPr>
          <w:u w:val="single"/>
        </w:rPr>
        <w:t>shall comply with one of the following configurations:</w:t>
      </w:r>
    </w:p>
    <w:p w14:paraId="53EDD9BE" w14:textId="77777777" w:rsidR="00A158B1" w:rsidRPr="008A414F" w:rsidRDefault="00A158B1" w:rsidP="00806C15">
      <w:pPr>
        <w:pStyle w:val="NoSpacing"/>
        <w:numPr>
          <w:ilvl w:val="2"/>
          <w:numId w:val="23"/>
        </w:numPr>
        <w:tabs>
          <w:tab w:val="clear" w:pos="2160"/>
          <w:tab w:val="num" w:pos="1440"/>
        </w:tabs>
        <w:ind w:left="1440"/>
        <w:rPr>
          <w:u w:val="single"/>
        </w:rPr>
      </w:pPr>
      <w:r w:rsidRPr="008A414F">
        <w:rPr>
          <w:u w:val="single"/>
        </w:rPr>
        <w:t xml:space="preserve">For 20-ampere receptacles, NEMA 6-20R. </w:t>
      </w:r>
    </w:p>
    <w:p w14:paraId="75F2AAC5" w14:textId="77777777" w:rsidR="009D056D" w:rsidRDefault="00A158B1" w:rsidP="00806C15">
      <w:pPr>
        <w:pStyle w:val="NoSpacing"/>
        <w:numPr>
          <w:ilvl w:val="2"/>
          <w:numId w:val="23"/>
        </w:numPr>
        <w:tabs>
          <w:tab w:val="clear" w:pos="2160"/>
          <w:tab w:val="num" w:pos="1440"/>
        </w:tabs>
        <w:ind w:left="1440"/>
        <w:rPr>
          <w:u w:val="single"/>
        </w:rPr>
      </w:pPr>
      <w:r w:rsidRPr="008A414F">
        <w:rPr>
          <w:u w:val="single"/>
        </w:rPr>
        <w:t>For 30-ampere receptacles, NEMA 14-30R.</w:t>
      </w:r>
    </w:p>
    <w:p w14:paraId="2A115335" w14:textId="4A25256D" w:rsidR="00A158B1" w:rsidRPr="00747E73" w:rsidRDefault="00A158B1" w:rsidP="00806C15">
      <w:pPr>
        <w:pStyle w:val="NoSpacing"/>
        <w:numPr>
          <w:ilvl w:val="2"/>
          <w:numId w:val="23"/>
        </w:numPr>
        <w:tabs>
          <w:tab w:val="clear" w:pos="2160"/>
          <w:tab w:val="num" w:pos="1440"/>
        </w:tabs>
        <w:ind w:left="1440"/>
        <w:rPr>
          <w:u w:val="single"/>
        </w:rPr>
      </w:pPr>
      <w:r w:rsidRPr="00747E73">
        <w:rPr>
          <w:u w:val="single"/>
        </w:rPr>
        <w:t>For 50-ampere receptacles, NEMA 14-50R</w:t>
      </w:r>
      <w:r w:rsidR="00806C15">
        <w:rPr>
          <w:u w:val="single"/>
        </w:rPr>
        <w:t>.</w:t>
      </w:r>
    </w:p>
    <w:p w14:paraId="1F0AD2D8" w14:textId="77777777" w:rsidR="00747E73" w:rsidRDefault="00747E73" w:rsidP="00B16852">
      <w:pPr>
        <w:pStyle w:val="NoSpacing"/>
        <w:ind w:left="720"/>
        <w:rPr>
          <w:b/>
          <w:bCs/>
          <w:u w:val="single"/>
        </w:rPr>
      </w:pPr>
    </w:p>
    <w:p w14:paraId="3C4C6329" w14:textId="62562D0A" w:rsidR="00B16852" w:rsidRPr="00B16852" w:rsidRDefault="00B16852" w:rsidP="00B16852">
      <w:pPr>
        <w:pStyle w:val="NoSpacing"/>
        <w:ind w:left="720"/>
        <w:rPr>
          <w:u w:val="single"/>
        </w:rPr>
      </w:pPr>
      <w:r w:rsidRPr="00B16852">
        <w:rPr>
          <w:b/>
          <w:bCs/>
          <w:u w:val="single"/>
        </w:rPr>
        <w:t>5.106.5.3.2.2 EV Charger Connectors.</w:t>
      </w:r>
      <w:r w:rsidRPr="00B16852">
        <w:rPr>
          <w:b/>
          <w:bCs/>
        </w:rPr>
        <w:t xml:space="preserve"> </w:t>
      </w:r>
      <w:r w:rsidRPr="00B16852">
        <w:rPr>
          <w:u w:val="single"/>
        </w:rPr>
        <w:t>EV chargers shall be equipped with SAE</w:t>
      </w:r>
    </w:p>
    <w:p w14:paraId="5984FE46" w14:textId="77777777" w:rsidR="00B16852" w:rsidRPr="00B16852" w:rsidRDefault="00B16852" w:rsidP="00B16852">
      <w:pPr>
        <w:pStyle w:val="NoSpacing"/>
        <w:ind w:left="720"/>
        <w:rPr>
          <w:u w:val="single"/>
        </w:rPr>
      </w:pPr>
      <w:r w:rsidRPr="00B16852">
        <w:rPr>
          <w:u w:val="single"/>
        </w:rPr>
        <w:t>J1772 with a maximum output 240 Volts AC or SAE J3400 connectors.</w:t>
      </w:r>
    </w:p>
    <w:p w14:paraId="5E1BB039" w14:textId="77777777" w:rsidR="00B16852" w:rsidRPr="00B16852" w:rsidRDefault="00B16852" w:rsidP="00B16852">
      <w:pPr>
        <w:pStyle w:val="NoSpacing"/>
        <w:ind w:left="720"/>
        <w:rPr>
          <w:u w:val="single"/>
        </w:rPr>
      </w:pPr>
      <w:r w:rsidRPr="00B16852">
        <w:rPr>
          <w:u w:val="single"/>
        </w:rPr>
        <w:t>When using level 2 SAE J3400 SAE connectors, supplied by a 480 V 3-phase</w:t>
      </w:r>
    </w:p>
    <w:p w14:paraId="67447104" w14:textId="77777777" w:rsidR="00B16852" w:rsidRPr="00B16852" w:rsidRDefault="00B16852" w:rsidP="00B16852">
      <w:pPr>
        <w:pStyle w:val="NoSpacing"/>
        <w:ind w:left="720"/>
        <w:rPr>
          <w:u w:val="single"/>
        </w:rPr>
      </w:pPr>
      <w:r w:rsidRPr="00B16852">
        <w:rPr>
          <w:u w:val="single"/>
        </w:rPr>
        <w:t>service, then at least 20 percent of the EV charger connectors shall be SAE</w:t>
      </w:r>
    </w:p>
    <w:p w14:paraId="118E810E" w14:textId="23C09269" w:rsidR="00B16852" w:rsidRPr="009D056D" w:rsidRDefault="00B16852" w:rsidP="009D056D">
      <w:pPr>
        <w:ind w:left="720"/>
        <w:rPr>
          <w:u w:val="single"/>
        </w:rPr>
      </w:pPr>
      <w:r w:rsidRPr="009D056D">
        <w:rPr>
          <w:u w:val="single"/>
        </w:rPr>
        <w:t>J1772 with a maximum output 240 Volts AC.</w:t>
      </w:r>
    </w:p>
    <w:p w14:paraId="54A9CEDC" w14:textId="01976B09" w:rsidR="005A74CA" w:rsidRPr="005A74CA" w:rsidRDefault="005A74CA" w:rsidP="00D61C3D">
      <w:pPr>
        <w:ind w:left="720"/>
        <w:rPr>
          <w:b/>
          <w:bCs/>
        </w:rPr>
      </w:pPr>
      <w:r w:rsidRPr="005A74CA">
        <w:rPr>
          <w:b/>
          <w:bCs/>
        </w:rPr>
        <w:t>5.106.5.3.2.</w:t>
      </w:r>
      <w:r w:rsidR="000617D6" w:rsidRPr="000617D6">
        <w:rPr>
          <w:b/>
          <w:bCs/>
          <w:strike/>
        </w:rPr>
        <w:t>1</w:t>
      </w:r>
      <w:r w:rsidR="00A158B1" w:rsidRPr="000617D6">
        <w:rPr>
          <w:b/>
          <w:bCs/>
          <w:u w:val="single"/>
        </w:rPr>
        <w:t>3</w:t>
      </w:r>
    </w:p>
    <w:p w14:paraId="1171AB96" w14:textId="77777777" w:rsidR="005A74CA" w:rsidRPr="005A74CA" w:rsidRDefault="005A74CA" w:rsidP="00E432D7">
      <w:pPr>
        <w:ind w:left="720"/>
      </w:pPr>
      <w:r w:rsidRPr="005A74CA">
        <w:t>The installation of each DCFC EVSE shall be permitted to reduce the minimum number of required EV capable spaces without EVSE or EVCS with Level 2 EVSE by five and reduce proportionally the required electrical load capacity to the service panel or subpanel.</w:t>
      </w:r>
    </w:p>
    <w:p w14:paraId="62705467" w14:textId="216D1130" w:rsidR="005A74CA" w:rsidRPr="005A74CA" w:rsidRDefault="005A74CA" w:rsidP="00D61C3D">
      <w:pPr>
        <w:ind w:left="720"/>
        <w:rPr>
          <w:b/>
          <w:bCs/>
        </w:rPr>
      </w:pPr>
      <w:r w:rsidRPr="005A74CA">
        <w:rPr>
          <w:b/>
          <w:bCs/>
        </w:rPr>
        <w:t>5.106.5.3.2.</w:t>
      </w:r>
      <w:r w:rsidRPr="005A74CA">
        <w:rPr>
          <w:b/>
          <w:bCs/>
          <w:strike/>
        </w:rPr>
        <w:t>2</w:t>
      </w:r>
      <w:r w:rsidR="0002609E" w:rsidRPr="0002609E">
        <w:rPr>
          <w:b/>
          <w:bCs/>
          <w:u w:val="single"/>
        </w:rPr>
        <w:t>4</w:t>
      </w:r>
    </w:p>
    <w:p w14:paraId="0A62D4C1" w14:textId="0F4B91ED" w:rsidR="005A74CA" w:rsidRDefault="005A74CA" w:rsidP="00D61C3D">
      <w:pPr>
        <w:ind w:left="720"/>
      </w:pPr>
      <w:r w:rsidRPr="005A74CA">
        <w:t>The installation of two low power Level 2 EV charging receptacles shall be permitted to reduce the minimum number of required EV capable spaces without EVSE in </w:t>
      </w:r>
      <w:r w:rsidRPr="00196688">
        <w:t>Table 5.106.5.3.1</w:t>
      </w:r>
      <w:r w:rsidRPr="005A74CA">
        <w:t> by one.</w:t>
      </w:r>
    </w:p>
    <w:p w14:paraId="54C9AC7A" w14:textId="278DA3E6" w:rsidR="008B2A68" w:rsidRPr="000D2C57" w:rsidRDefault="008B2A68" w:rsidP="00806C15">
      <w:pPr>
        <w:ind w:left="1080"/>
        <w:rPr>
          <w:u w:val="single"/>
        </w:rPr>
      </w:pPr>
      <w:r w:rsidRPr="000D2C57">
        <w:rPr>
          <w:b/>
          <w:bCs/>
          <w:u w:val="single"/>
        </w:rPr>
        <w:t>5.106.5.3.2.4.1</w:t>
      </w:r>
      <w:r w:rsidR="00E432D7" w:rsidRPr="000D2C57">
        <w:rPr>
          <w:b/>
          <w:bCs/>
          <w:u w:val="single"/>
        </w:rPr>
        <w:t xml:space="preserve"> Raceway Capacity Requirements.</w:t>
      </w:r>
      <w:r w:rsidR="00E432D7" w:rsidRPr="000D2C57">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w:t>
      </w:r>
      <w:r w:rsidR="00806C15" w:rsidRPr="000D2C57">
        <w:rPr>
          <w:u w:val="single"/>
        </w:rPr>
        <w:t xml:space="preserve"> receptacle.</w:t>
      </w:r>
    </w:p>
    <w:p w14:paraId="7311E519" w14:textId="77777777" w:rsidR="00D61C3D" w:rsidRDefault="00D61C3D" w:rsidP="00D61C3D">
      <w:pPr>
        <w:ind w:left="720"/>
        <w:rPr>
          <w:b/>
          <w:bCs/>
        </w:rPr>
      </w:pPr>
    </w:p>
    <w:p w14:paraId="70B0CCC2" w14:textId="19098AE9" w:rsidR="005A74CA" w:rsidRPr="005A74CA" w:rsidRDefault="005A74CA" w:rsidP="000D2C57">
      <w:pPr>
        <w:ind w:left="360"/>
        <w:rPr>
          <w:b/>
          <w:bCs/>
        </w:rPr>
      </w:pPr>
      <w:r w:rsidRPr="005A74CA">
        <w:rPr>
          <w:b/>
          <w:bCs/>
        </w:rPr>
        <w:t>5.106.5.3.</w:t>
      </w:r>
      <w:r w:rsidRPr="00EB38CE">
        <w:rPr>
          <w:b/>
          <w:bCs/>
        </w:rPr>
        <w:t>3</w:t>
      </w:r>
      <w:r w:rsidRPr="005A74CA">
        <w:rPr>
          <w:b/>
          <w:bCs/>
        </w:rPr>
        <w:t> Use of automatic load management systems (ALMS).</w:t>
      </w:r>
    </w:p>
    <w:p w14:paraId="49AC222A" w14:textId="228E2668" w:rsidR="005A74CA" w:rsidRPr="005A74CA" w:rsidRDefault="005A74CA" w:rsidP="000D2C57">
      <w:pPr>
        <w:ind w:left="360"/>
      </w:pPr>
      <w:r w:rsidRPr="005A74CA">
        <w:t>ALMS shall be permitted for EVCS. When ALMS is installed, the required electrical load capacity specified in </w:t>
      </w:r>
      <w:r w:rsidRPr="00196688">
        <w:t>Section 5.106.5.3.1</w:t>
      </w:r>
      <w:r w:rsidRPr="005A74CA">
        <w:t> for each EVCS may be reduced when serviced by an EVSE controlled by an ALMS. Each EVSE controlled by an ALMS shall deliver a minimum 30 amperes to an EV when charging one vehicle and shall deliver a minimum 3.3 kW while simultaneously charging multiple EVs.</w:t>
      </w:r>
    </w:p>
    <w:p w14:paraId="7BD83327" w14:textId="77777777" w:rsidR="00D61C3D" w:rsidRDefault="00D61C3D" w:rsidP="000D2C57">
      <w:pPr>
        <w:ind w:left="360"/>
        <w:rPr>
          <w:b/>
          <w:bCs/>
        </w:rPr>
      </w:pPr>
    </w:p>
    <w:p w14:paraId="165E95C1" w14:textId="6BBD63F4" w:rsidR="005A74CA" w:rsidRPr="005A74CA" w:rsidRDefault="005A74CA" w:rsidP="000D2C57">
      <w:pPr>
        <w:ind w:left="360"/>
        <w:rPr>
          <w:b/>
          <w:bCs/>
        </w:rPr>
      </w:pPr>
      <w:r w:rsidRPr="005A74CA">
        <w:rPr>
          <w:b/>
          <w:bCs/>
        </w:rPr>
        <w:t>5.106.5.3.</w:t>
      </w:r>
      <w:r w:rsidRPr="00EB38CE">
        <w:rPr>
          <w:b/>
          <w:bCs/>
        </w:rPr>
        <w:t>4</w:t>
      </w:r>
      <w:r w:rsidRPr="005A74CA">
        <w:rPr>
          <w:b/>
          <w:bCs/>
        </w:rPr>
        <w:t> Accessible electric vehicle charging station (EVCS).</w:t>
      </w:r>
    </w:p>
    <w:p w14:paraId="45A3C349" w14:textId="77777777" w:rsidR="005A74CA" w:rsidRPr="005A74CA" w:rsidRDefault="005A74CA" w:rsidP="000D2C57">
      <w:pPr>
        <w:ind w:left="360"/>
      </w:pPr>
      <w:r w:rsidRPr="005A74CA">
        <w:t>When EVSE is installed, accessible EVCS shall be provided in accordance with the </w:t>
      </w:r>
      <w:r w:rsidRPr="005A74CA">
        <w:rPr>
          <w:i/>
          <w:iCs/>
        </w:rPr>
        <w:t>California Building Code</w:t>
      </w:r>
      <w:r w:rsidRPr="005A74CA">
        <w:t>, Chapter 11B, </w:t>
      </w:r>
      <w:hyperlink r:id="rId29" w:history="1">
        <w:r w:rsidRPr="005A74CA">
          <w:rPr>
            <w:rStyle w:val="Hyperlink"/>
          </w:rPr>
          <w:t>Section 11B-228.3</w:t>
        </w:r>
      </w:hyperlink>
      <w:r w:rsidRPr="005A74CA">
        <w:t>.</w:t>
      </w:r>
    </w:p>
    <w:p w14:paraId="7D64D0C9" w14:textId="77777777" w:rsidR="00D61C3D" w:rsidRDefault="00D61C3D" w:rsidP="000D2C57">
      <w:pPr>
        <w:ind w:left="360"/>
        <w:rPr>
          <w:b/>
          <w:bCs/>
        </w:rPr>
      </w:pPr>
    </w:p>
    <w:p w14:paraId="0E262280" w14:textId="66F3B36A" w:rsidR="005A74CA" w:rsidRPr="005A74CA" w:rsidRDefault="005A74CA" w:rsidP="000D2C57">
      <w:pPr>
        <w:ind w:left="360"/>
        <w:rPr>
          <w:b/>
          <w:bCs/>
        </w:rPr>
      </w:pPr>
      <w:r w:rsidRPr="005A74CA">
        <w:rPr>
          <w:b/>
          <w:bCs/>
        </w:rPr>
        <w:t>5.106.5.3.</w:t>
      </w:r>
      <w:r w:rsidRPr="00EB38CE">
        <w:rPr>
          <w:b/>
          <w:bCs/>
        </w:rPr>
        <w:t>5</w:t>
      </w:r>
      <w:r w:rsidRPr="005A74CA">
        <w:rPr>
          <w:b/>
          <w:bCs/>
        </w:rPr>
        <w:t> Electric vehicle charging station signage.</w:t>
      </w:r>
    </w:p>
    <w:p w14:paraId="68063DD9" w14:textId="77777777" w:rsidR="005A74CA" w:rsidRPr="005A74CA" w:rsidRDefault="005A74CA" w:rsidP="000D2C57">
      <w:pPr>
        <w:ind w:left="360"/>
      </w:pPr>
      <w:r w:rsidRPr="005A74CA">
        <w:t>Electric vehicle charging stations shall be identified by signage or pavement markings in compliance with Caltrans Traffic Operations Policy Directive 13-01 (Zero Emission Vehicle Signs and Pavement Markings) or its successor(s).</w:t>
      </w:r>
    </w:p>
    <w:p w14:paraId="4CE055F7" w14:textId="77777777" w:rsidR="00D61C3D" w:rsidRDefault="00D61C3D" w:rsidP="000D2C57">
      <w:pPr>
        <w:ind w:left="360"/>
        <w:rPr>
          <w:b/>
          <w:bCs/>
        </w:rPr>
      </w:pPr>
    </w:p>
    <w:p w14:paraId="03678D6F" w14:textId="31C16622" w:rsidR="005A74CA" w:rsidRPr="005A74CA" w:rsidRDefault="005A74CA" w:rsidP="000D2C57">
      <w:pPr>
        <w:ind w:left="360"/>
        <w:rPr>
          <w:b/>
          <w:bCs/>
        </w:rPr>
      </w:pPr>
      <w:r w:rsidRPr="005A74CA">
        <w:rPr>
          <w:b/>
          <w:bCs/>
        </w:rPr>
        <w:t>5.106.5.3.</w:t>
      </w:r>
      <w:r w:rsidRPr="00EB38CE">
        <w:rPr>
          <w:b/>
          <w:bCs/>
        </w:rPr>
        <w:t>6</w:t>
      </w:r>
      <w:r w:rsidRPr="005A74CA">
        <w:rPr>
          <w:b/>
          <w:bCs/>
        </w:rPr>
        <w:t> Electric vehicle charging stations (EVCS)—power allocation method.</w:t>
      </w:r>
    </w:p>
    <w:p w14:paraId="36A98C8E" w14:textId="5C930A99" w:rsidR="005A74CA" w:rsidRPr="005A74CA" w:rsidRDefault="005A74CA" w:rsidP="000D2C57">
      <w:pPr>
        <w:ind w:left="360"/>
      </w:pPr>
      <w:r w:rsidRPr="005A74CA">
        <w:t>The power allocation method may be used as an alternative to the requirements in </w:t>
      </w:r>
      <w:r w:rsidRPr="00196688">
        <w:t>Section 5.106.5.3.1</w:t>
      </w:r>
      <w:r w:rsidRPr="005A74CA">
        <w:t>, </w:t>
      </w:r>
      <w:r w:rsidRPr="00196688">
        <w:t>Section 5.106.5.3.2</w:t>
      </w:r>
      <w:r w:rsidRPr="005A74CA">
        <w:t> and associated </w:t>
      </w:r>
      <w:r w:rsidRPr="00196688">
        <w:t>Table 5.106.5.3.1</w:t>
      </w:r>
      <w:r w:rsidRPr="005A74CA">
        <w:t>. Use </w:t>
      </w:r>
      <w:r w:rsidRPr="00196688">
        <w:t>Table 5.106.5.3.6</w:t>
      </w:r>
      <w:r w:rsidRPr="005A74CA">
        <w:t> to determine the total power in kVA required based on the total number of actual parking spaces.</w:t>
      </w:r>
    </w:p>
    <w:p w14:paraId="2181E407" w14:textId="77777777" w:rsidR="005A74CA" w:rsidRPr="005A74CA" w:rsidRDefault="005A74CA" w:rsidP="000D2C57">
      <w:pPr>
        <w:ind w:left="360"/>
      </w:pPr>
      <w:r w:rsidRPr="005A74CA">
        <w:t>Power allocation method shall include the following:</w:t>
      </w:r>
    </w:p>
    <w:p w14:paraId="0F159C1D" w14:textId="48E3705C" w:rsidR="005A74CA" w:rsidRPr="005A74CA" w:rsidRDefault="005A74CA" w:rsidP="000D2C57">
      <w:pPr>
        <w:numPr>
          <w:ilvl w:val="0"/>
          <w:numId w:val="11"/>
        </w:numPr>
        <w:tabs>
          <w:tab w:val="clear" w:pos="720"/>
          <w:tab w:val="num" w:pos="1080"/>
        </w:tabs>
        <w:ind w:left="1080"/>
      </w:pPr>
      <w:r w:rsidRPr="005A74CA">
        <w:t>Use any kVA combination of EV capable spaces, low power Level 2, Level 2 or DCFC EVSEs.</w:t>
      </w:r>
    </w:p>
    <w:p w14:paraId="4B12C785" w14:textId="1DE26FE0" w:rsidR="005A74CA" w:rsidRPr="005A74CA" w:rsidRDefault="005A74CA" w:rsidP="000D2C57">
      <w:pPr>
        <w:numPr>
          <w:ilvl w:val="0"/>
          <w:numId w:val="11"/>
        </w:numPr>
        <w:tabs>
          <w:tab w:val="clear" w:pos="720"/>
          <w:tab w:val="num" w:pos="1080"/>
        </w:tabs>
        <w:ind w:left="1080"/>
      </w:pPr>
      <w:r w:rsidRPr="005A74CA">
        <w:t>At least one Level 2 EVSE shall be provided.</w:t>
      </w:r>
    </w:p>
    <w:p w14:paraId="1D8DDD99" w14:textId="77777777" w:rsidR="005A74CA" w:rsidRDefault="005A74CA" w:rsidP="00D61C3D">
      <w:pPr>
        <w:ind w:left="720"/>
        <w:rPr>
          <w:b/>
          <w:bCs/>
        </w:rPr>
      </w:pPr>
      <w:r w:rsidRPr="005A74CA">
        <w:rPr>
          <w:b/>
          <w:bCs/>
        </w:rPr>
        <w:t>TABLE 5.106.5.3.6</w:t>
      </w:r>
    </w:p>
    <w:tbl>
      <w:tblPr>
        <w:tblW w:w="907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0"/>
        <w:gridCol w:w="2304"/>
        <w:gridCol w:w="2448"/>
        <w:gridCol w:w="2880"/>
      </w:tblGrid>
      <w:tr w:rsidR="006D5D29" w:rsidRPr="005A74CA" w14:paraId="28E381DA"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0868BE7" w14:textId="77777777" w:rsidR="006D5D29" w:rsidRPr="005A74CA" w:rsidRDefault="006D5D29" w:rsidP="00D36104">
            <w:pPr>
              <w:jc w:val="center"/>
              <w:rPr>
                <w:b/>
                <w:bCs/>
                <w:u w:val="single"/>
              </w:rPr>
            </w:pPr>
            <w:r w:rsidRPr="00802E23">
              <w:rPr>
                <w:b/>
                <w:bCs/>
                <w:u w:val="single"/>
              </w:rPr>
              <w:t>FACILITY TYPE</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4B1F868" w14:textId="77777777" w:rsidR="006D5D29" w:rsidRPr="006D5D29" w:rsidRDefault="006D5D29" w:rsidP="00D36104">
            <w:pPr>
              <w:jc w:val="center"/>
              <w:rPr>
                <w:b/>
                <w:bCs/>
                <w:u w:val="single"/>
              </w:rPr>
            </w:pPr>
            <w:r>
              <w:rPr>
                <w:b/>
                <w:bCs/>
                <w:u w:val="single"/>
              </w:rPr>
              <w:t>MINIMUM TOTAL kVA @ 6.6 kVA</w:t>
            </w:r>
            <w:r w:rsidRPr="006D5D29">
              <w:rPr>
                <w:b/>
                <w:bCs/>
                <w:u w:val="single"/>
                <w:vertAlign w:val="superscript"/>
              </w:rPr>
              <w:t>1</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937F4E" w14:textId="77777777" w:rsidR="006D5D29" w:rsidRPr="006D5D29" w:rsidRDefault="006D5D29" w:rsidP="00D36104">
            <w:pPr>
              <w:jc w:val="center"/>
              <w:rPr>
                <w:b/>
                <w:bCs/>
                <w:u w:val="single"/>
              </w:rPr>
            </w:pPr>
            <w:r>
              <w:rPr>
                <w:b/>
                <w:bCs/>
                <w:u w:val="single"/>
              </w:rPr>
              <w:t>MAXIMUM kVA ALLOWED FOR EV CAPABLE SPACES</w:t>
            </w:r>
            <w:r w:rsidRPr="006D5D29">
              <w:rPr>
                <w:b/>
                <w:bCs/>
                <w:u w:val="single"/>
                <w:vertAlign w:val="superscript"/>
              </w:rPr>
              <w:t>1, 2</w:t>
            </w:r>
          </w:p>
        </w:tc>
        <w:tc>
          <w:tcPr>
            <w:tcW w:w="2880" w:type="dxa"/>
            <w:tcBorders>
              <w:top w:val="single" w:sz="6" w:space="0" w:color="CCCCCC"/>
              <w:left w:val="single" w:sz="6" w:space="0" w:color="CCCCCC"/>
              <w:bottom w:val="single" w:sz="6" w:space="0" w:color="CCCCCC"/>
              <w:right w:val="single" w:sz="6" w:space="0" w:color="CCCCCC"/>
            </w:tcBorders>
          </w:tcPr>
          <w:p w14:paraId="77879EC9" w14:textId="2E0A9400" w:rsidR="006D5D29" w:rsidRDefault="006D5D29" w:rsidP="00D36104">
            <w:pPr>
              <w:jc w:val="center"/>
              <w:rPr>
                <w:b/>
                <w:bCs/>
                <w:u w:val="single"/>
              </w:rPr>
            </w:pPr>
            <w:r>
              <w:rPr>
                <w:b/>
                <w:bCs/>
                <w:u w:val="single"/>
              </w:rPr>
              <w:t xml:space="preserve">MINIMUM kVA </w:t>
            </w:r>
            <w:r w:rsidRPr="005A74CA">
              <w:rPr>
                <w:b/>
                <w:bCs/>
                <w:u w:val="single"/>
              </w:rPr>
              <w:t>REQUIRED IN ANY</w:t>
            </w:r>
            <w:r w:rsidRPr="00967E45">
              <w:rPr>
                <w:b/>
                <w:bCs/>
                <w:u w:val="single"/>
              </w:rPr>
              <w:t xml:space="preserve"> </w:t>
            </w:r>
            <w:r w:rsidRPr="005A74CA">
              <w:rPr>
                <w:b/>
                <w:bCs/>
                <w:u w:val="single"/>
              </w:rPr>
              <w:t>COMBINATION OF LOW POWER LEVEL 2, LEVEL 2,</w:t>
            </w:r>
            <w:r w:rsidRPr="006D5D29">
              <w:rPr>
                <w:b/>
                <w:bCs/>
                <w:u w:val="single"/>
              </w:rPr>
              <w:t xml:space="preserve"> </w:t>
            </w:r>
            <w:r w:rsidRPr="005A74CA">
              <w:rPr>
                <w:b/>
                <w:bCs/>
                <w:u w:val="single"/>
              </w:rPr>
              <w:t>OR DCFC</w:t>
            </w:r>
            <w:r w:rsidRPr="006D5D29">
              <w:rPr>
                <w:b/>
                <w:bCs/>
                <w:u w:val="single"/>
                <w:vertAlign w:val="superscript"/>
              </w:rPr>
              <w:t xml:space="preserve">1, 3, </w:t>
            </w:r>
          </w:p>
        </w:tc>
      </w:tr>
      <w:tr w:rsidR="006D5D29" w:rsidRPr="005A74CA" w14:paraId="26DA12B9"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F95359" w14:textId="77777777" w:rsidR="006D5D29" w:rsidRPr="006D5D29" w:rsidRDefault="006D5D29" w:rsidP="00D36104">
            <w:pPr>
              <w:jc w:val="center"/>
              <w:rPr>
                <w:b/>
                <w:bCs/>
                <w:u w:val="single"/>
              </w:rPr>
            </w:pPr>
            <w:r w:rsidRPr="006D5D29">
              <w:rPr>
                <w:b/>
                <w:bCs/>
                <w:u w:val="single"/>
              </w:rPr>
              <w:t>Office &amp; Retail</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9FF5E4B" w14:textId="3B34C2C5" w:rsidR="006D5D29" w:rsidRPr="00D103EA" w:rsidRDefault="007363F1"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1185F" w14:textId="7F796574" w:rsidR="006D5D29" w:rsidRPr="00D103EA" w:rsidRDefault="00EE1D45" w:rsidP="00D36104">
            <w:pPr>
              <w:jc w:val="center"/>
              <w:rPr>
                <w:u w:val="single"/>
              </w:rPr>
            </w:pPr>
            <w:r w:rsidRPr="00D103EA">
              <w:rPr>
                <w:u w:val="single"/>
              </w:rPr>
              <w:t>11</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04A0C60A" w14:textId="70992582" w:rsidR="006D5D29" w:rsidRPr="00D103EA" w:rsidRDefault="00EE1D45" w:rsidP="00D36104">
            <w:pPr>
              <w:jc w:val="center"/>
              <w:rPr>
                <w:u w:val="single"/>
              </w:rPr>
            </w:pPr>
            <w:r w:rsidRPr="00D103EA">
              <w:rPr>
                <w:u w:val="single"/>
              </w:rPr>
              <w:t>34</w:t>
            </w:r>
            <w:r w:rsidR="006D5D29" w:rsidRPr="00D103EA">
              <w:rPr>
                <w:u w:val="single"/>
              </w:rPr>
              <w:t>% of actual parking spaces x 6.6</w:t>
            </w:r>
          </w:p>
        </w:tc>
      </w:tr>
      <w:tr w:rsidR="006D5D29" w:rsidRPr="005A74CA" w14:paraId="55F2FDE4"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0D19AD" w14:textId="77777777" w:rsidR="006D5D29" w:rsidRPr="006D5D29" w:rsidRDefault="006D5D29" w:rsidP="00D36104">
            <w:pPr>
              <w:jc w:val="center"/>
              <w:rPr>
                <w:b/>
                <w:bCs/>
                <w:u w:val="single"/>
              </w:rPr>
            </w:pPr>
            <w:r w:rsidRPr="006D5D29">
              <w:rPr>
                <w:b/>
                <w:bCs/>
                <w:u w:val="single"/>
              </w:rPr>
              <w:t>All Other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C9ECCD9" w14:textId="5F18276D" w:rsidR="006D5D29" w:rsidRPr="00D103EA" w:rsidRDefault="00142B74"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3259A38" w14:textId="3278333A" w:rsidR="006D5D29" w:rsidRPr="00D103EA" w:rsidRDefault="00142B74" w:rsidP="00D36104">
            <w:pPr>
              <w:jc w:val="center"/>
              <w:rPr>
                <w:u w:val="single"/>
              </w:rPr>
            </w:pPr>
            <w:r w:rsidRPr="00D103EA">
              <w:rPr>
                <w:u w:val="single"/>
              </w:rPr>
              <w:t>22</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749A13B5" w14:textId="2F5AD621" w:rsidR="006D5D29" w:rsidRPr="00D103EA" w:rsidRDefault="00142B74" w:rsidP="00D36104">
            <w:pPr>
              <w:jc w:val="center"/>
              <w:rPr>
                <w:u w:val="single"/>
              </w:rPr>
            </w:pPr>
            <w:r w:rsidRPr="00D103EA">
              <w:rPr>
                <w:u w:val="single"/>
              </w:rPr>
              <w:t>23</w:t>
            </w:r>
            <w:r w:rsidR="006D5D29" w:rsidRPr="00D103EA">
              <w:rPr>
                <w:u w:val="single"/>
              </w:rPr>
              <w:t>% of actual parking spaces x 6.6</w:t>
            </w:r>
          </w:p>
        </w:tc>
      </w:tr>
    </w:tbl>
    <w:p w14:paraId="2FAD29FF" w14:textId="77777777" w:rsidR="00F438C3" w:rsidRDefault="00F438C3" w:rsidP="00F438C3">
      <w:pPr>
        <w:numPr>
          <w:ilvl w:val="0"/>
          <w:numId w:val="39"/>
        </w:numPr>
        <w:rPr>
          <w:sz w:val="18"/>
          <w:szCs w:val="18"/>
          <w:u w:val="single"/>
        </w:rPr>
      </w:pPr>
      <w:r w:rsidRPr="005A74CA">
        <w:rPr>
          <w:sz w:val="18"/>
          <w:szCs w:val="18"/>
          <w:u w:val="single"/>
        </w:rPr>
        <w:lastRenderedPageBreak/>
        <w:t>Calculation for spaces shall be rounded up to the nearest whole number.</w:t>
      </w:r>
    </w:p>
    <w:p w14:paraId="4901EF3B" w14:textId="77777777" w:rsidR="00EB6165" w:rsidRDefault="00EB6165" w:rsidP="00EB6165">
      <w:pPr>
        <w:numPr>
          <w:ilvl w:val="0"/>
          <w:numId w:val="39"/>
        </w:numPr>
        <w:rPr>
          <w:sz w:val="18"/>
          <w:szCs w:val="18"/>
          <w:u w:val="single"/>
        </w:rPr>
      </w:pPr>
      <w:r w:rsidRPr="005A74CA">
        <w:rPr>
          <w:sz w:val="18"/>
          <w:szCs w:val="18"/>
          <w:u w:val="single"/>
        </w:rPr>
        <w:t>If EV capable spaces are utilized, they shall meet the requirements of Section 5.106.5.3.1 EV capable spaces.</w:t>
      </w:r>
    </w:p>
    <w:p w14:paraId="2130F242" w14:textId="3599346B" w:rsidR="00F438C3" w:rsidRPr="005A74CA" w:rsidRDefault="001303AD" w:rsidP="00F438C3">
      <w:pPr>
        <w:numPr>
          <w:ilvl w:val="0"/>
          <w:numId w:val="39"/>
        </w:numPr>
        <w:rPr>
          <w:sz w:val="18"/>
          <w:szCs w:val="18"/>
          <w:u w:val="single"/>
        </w:rPr>
      </w:pPr>
      <w:r w:rsidRPr="001303AD">
        <w:rPr>
          <w:sz w:val="18"/>
          <w:szCs w:val="18"/>
          <w:u w:val="single"/>
        </w:rPr>
        <w:t>Level 2 EVSE @ 6.6 kVA minimum.</w:t>
      </w:r>
      <w:r w:rsidR="00FA725A" w:rsidRPr="00EB6165" w:rsidDel="00FA725A">
        <w:rPr>
          <w:sz w:val="18"/>
          <w:szCs w:val="18"/>
          <w:u w:val="single"/>
        </w:rPr>
        <w:t xml:space="preserve"> </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60"/>
        <w:gridCol w:w="2160"/>
        <w:gridCol w:w="2592"/>
      </w:tblGrid>
      <w:tr w:rsidR="00B87A4C" w:rsidRPr="00B87A4C" w14:paraId="397FD083" w14:textId="7B2D1D62"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67B05A1" w14:textId="3E7C48F5" w:rsidR="00B87A4C" w:rsidRPr="005A74CA" w:rsidRDefault="00B87A4C" w:rsidP="004D068F">
            <w:pPr>
              <w:jc w:val="center"/>
              <w:rPr>
                <w:strike/>
              </w:rPr>
            </w:pPr>
            <w:r w:rsidRPr="005A74CA">
              <w:rPr>
                <w:b/>
                <w:bCs/>
                <w:strike/>
              </w:rPr>
              <w:t>TOTAL NUMBER</w:t>
            </w:r>
            <w:r w:rsidRPr="00B87A4C">
              <w:rPr>
                <w:b/>
                <w:bCs/>
                <w:strike/>
              </w:rPr>
              <w:t xml:space="preserve"> </w:t>
            </w:r>
            <w:r w:rsidRPr="005A74CA">
              <w:rPr>
                <w:b/>
                <w:bCs/>
                <w:strike/>
              </w:rPr>
              <w:t>OF ACTUAL</w:t>
            </w:r>
            <w:r w:rsidRPr="00B87A4C">
              <w:rPr>
                <w:b/>
                <w:bCs/>
                <w:strike/>
              </w:rPr>
              <w:t xml:space="preserve"> </w:t>
            </w:r>
            <w:r w:rsidRPr="005A74CA">
              <w:rPr>
                <w:b/>
                <w:bCs/>
                <w:strike/>
              </w:rPr>
              <w:t>PARKING</w:t>
            </w:r>
            <w:r w:rsidRPr="00B87A4C">
              <w:rPr>
                <w:b/>
                <w:bCs/>
                <w:strike/>
              </w:rPr>
              <w:t xml:space="preserve"> </w:t>
            </w:r>
            <w:r w:rsidRPr="005A74CA">
              <w:rPr>
                <w:b/>
                <w:bCs/>
                <w:strike/>
              </w:rPr>
              <w:t>SPACES</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893E388" w14:textId="105F149C" w:rsidR="00B87A4C" w:rsidRPr="005A74CA" w:rsidRDefault="00B87A4C" w:rsidP="004D068F">
            <w:pPr>
              <w:jc w:val="center"/>
              <w:rPr>
                <w:strike/>
              </w:rPr>
            </w:pPr>
            <w:r w:rsidRPr="005A74CA">
              <w:rPr>
                <w:b/>
                <w:bCs/>
                <w:strike/>
              </w:rPr>
              <w:t>MINIMUM</w:t>
            </w:r>
            <w:r w:rsidRPr="00B87A4C">
              <w:rPr>
                <w:b/>
                <w:bCs/>
                <w:strike/>
              </w:rPr>
              <w:t xml:space="preserve"> </w:t>
            </w:r>
            <w:r w:rsidRPr="005A74CA">
              <w:rPr>
                <w:b/>
                <w:bCs/>
                <w:strike/>
              </w:rPr>
              <w:t>TOTAL kVA @</w:t>
            </w:r>
            <w:r w:rsidRPr="00B87A4C">
              <w:rPr>
                <w:b/>
                <w:bCs/>
                <w:strike/>
              </w:rPr>
              <w:t xml:space="preserve"> </w:t>
            </w:r>
            <w:r w:rsidRPr="005A74CA">
              <w:rPr>
                <w:b/>
                <w:bCs/>
                <w:strike/>
              </w:rPr>
              <w:t>6.6 kVA</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C8C9D69" w14:textId="3A665CE8" w:rsidR="00B87A4C" w:rsidRPr="005A74CA" w:rsidRDefault="00B87A4C" w:rsidP="004D068F">
            <w:pPr>
              <w:jc w:val="center"/>
              <w:rPr>
                <w:strike/>
              </w:rPr>
            </w:pPr>
            <w:r w:rsidRPr="005A74CA">
              <w:rPr>
                <w:b/>
                <w:bCs/>
                <w:strike/>
              </w:rPr>
              <w:t>TOTAL kVA REQUIRED IN ANY</w:t>
            </w:r>
            <w:r w:rsidRPr="00B87A4C">
              <w:rPr>
                <w:b/>
                <w:bCs/>
                <w:strike/>
              </w:rPr>
              <w:t xml:space="preserve"> </w:t>
            </w:r>
            <w:r w:rsidRPr="005A74CA">
              <w:rPr>
                <w:b/>
                <w:bCs/>
                <w:strike/>
              </w:rPr>
              <w:t>COMBINATION OF EV CAPABLE,</w:t>
            </w:r>
            <w:r w:rsidRPr="005A74CA">
              <w:rPr>
                <w:b/>
                <w:bCs/>
                <w:strike/>
                <w:vertAlign w:val="superscript"/>
              </w:rPr>
              <w:t>3,4</w:t>
            </w:r>
            <w:r w:rsidRPr="00B87A4C">
              <w:rPr>
                <w:b/>
                <w:bCs/>
                <w:strike/>
              </w:rPr>
              <w:t xml:space="preserve"> </w:t>
            </w:r>
            <w:r w:rsidRPr="005A74CA">
              <w:rPr>
                <w:b/>
                <w:bCs/>
                <w:strike/>
              </w:rPr>
              <w:t>LOW POWER LEVEL 2, LEVEL 2,</w:t>
            </w:r>
            <w:r w:rsidRPr="005A74CA">
              <w:rPr>
                <w:b/>
                <w:bCs/>
                <w:strike/>
                <w:vertAlign w:val="superscript"/>
              </w:rPr>
              <w:t>1, 2</w:t>
            </w:r>
            <w:r w:rsidRPr="00B87A4C">
              <w:rPr>
                <w:b/>
                <w:bCs/>
                <w:strike/>
                <w:vertAlign w:val="superscript"/>
              </w:rPr>
              <w:t xml:space="preserve"> </w:t>
            </w:r>
            <w:r w:rsidRPr="005A74CA">
              <w:rPr>
                <w:b/>
                <w:bCs/>
                <w:strike/>
              </w:rPr>
              <w:t>OR DCFC</w:t>
            </w:r>
          </w:p>
        </w:tc>
      </w:tr>
      <w:tr w:rsidR="00B87A4C" w:rsidRPr="00B87A4C" w14:paraId="054E5529" w14:textId="3B1580D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76F05BB" w14:textId="77777777" w:rsidR="00B87A4C" w:rsidRPr="005A74CA" w:rsidRDefault="00B87A4C" w:rsidP="00DC0697">
            <w:pPr>
              <w:jc w:val="center"/>
              <w:rPr>
                <w:strike/>
              </w:rPr>
            </w:pPr>
            <w:r w:rsidRPr="005A74CA">
              <w:rPr>
                <w:strike/>
              </w:rPr>
              <w:t>0–9</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93BD675" w14:textId="77777777" w:rsidR="00B87A4C" w:rsidRPr="005A74CA" w:rsidRDefault="00B87A4C" w:rsidP="00DC0697">
            <w:pPr>
              <w:jc w:val="center"/>
              <w:rPr>
                <w:strike/>
              </w:rPr>
            </w:pPr>
            <w:r w:rsidRPr="005A74CA">
              <w:rPr>
                <w:strike/>
              </w:rPr>
              <w:t>0</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79F4CB4" w14:textId="77777777" w:rsidR="00B87A4C" w:rsidRPr="005A74CA" w:rsidRDefault="00B87A4C" w:rsidP="00DC0697">
            <w:pPr>
              <w:jc w:val="center"/>
              <w:rPr>
                <w:strike/>
              </w:rPr>
            </w:pPr>
            <w:r w:rsidRPr="005A74CA">
              <w:rPr>
                <w:strike/>
              </w:rPr>
              <w:t>0</w:t>
            </w:r>
          </w:p>
        </w:tc>
      </w:tr>
      <w:tr w:rsidR="00B87A4C" w:rsidRPr="00B87A4C" w14:paraId="0E591675" w14:textId="3FFC5B3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925A91D" w14:textId="77777777" w:rsidR="00B87A4C" w:rsidRPr="005A74CA" w:rsidRDefault="00B87A4C" w:rsidP="00DC0697">
            <w:pPr>
              <w:jc w:val="center"/>
              <w:rPr>
                <w:strike/>
              </w:rPr>
            </w:pPr>
            <w:r w:rsidRPr="005A74CA">
              <w:rPr>
                <w:strike/>
              </w:rPr>
              <w:t>10–25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57F40" w14:textId="77777777" w:rsidR="00B87A4C" w:rsidRPr="005A74CA" w:rsidRDefault="00B87A4C" w:rsidP="00DC0697">
            <w:pPr>
              <w:jc w:val="center"/>
              <w:rPr>
                <w:strike/>
              </w:rPr>
            </w:pPr>
            <w:r w:rsidRPr="005A74CA">
              <w:rPr>
                <w:strike/>
              </w:rPr>
              <w:t>26.4</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D7F7931" w14:textId="77777777" w:rsidR="00B87A4C" w:rsidRPr="005A74CA" w:rsidRDefault="00B87A4C" w:rsidP="00DC0697">
            <w:pPr>
              <w:jc w:val="center"/>
              <w:rPr>
                <w:strike/>
              </w:rPr>
            </w:pPr>
            <w:r w:rsidRPr="005A74CA">
              <w:rPr>
                <w:strike/>
              </w:rPr>
              <w:t>26.4</w:t>
            </w:r>
          </w:p>
        </w:tc>
      </w:tr>
      <w:tr w:rsidR="00B87A4C" w:rsidRPr="00B87A4C" w14:paraId="24731EE3" w14:textId="3D361447"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ABF4F30" w14:textId="77777777" w:rsidR="00B87A4C" w:rsidRPr="005A74CA" w:rsidRDefault="00B87A4C" w:rsidP="00DC0697">
            <w:pPr>
              <w:jc w:val="center"/>
              <w:rPr>
                <w:strike/>
              </w:rPr>
            </w:pPr>
            <w:r w:rsidRPr="005A74CA">
              <w:rPr>
                <w:strike/>
              </w:rPr>
              <w:t>26–50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84D9F41" w14:textId="77777777" w:rsidR="00B87A4C" w:rsidRPr="005A74CA" w:rsidRDefault="00B87A4C" w:rsidP="00DC0697">
            <w:pPr>
              <w:jc w:val="center"/>
              <w:rPr>
                <w:strike/>
              </w:rPr>
            </w:pPr>
            <w:r w:rsidRPr="005A74CA">
              <w:rPr>
                <w:strike/>
              </w:rPr>
              <w:t>52.8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4E37102" w14:textId="77777777" w:rsidR="00B87A4C" w:rsidRPr="005A74CA" w:rsidRDefault="00B87A4C" w:rsidP="00DC0697">
            <w:pPr>
              <w:jc w:val="center"/>
              <w:rPr>
                <w:strike/>
              </w:rPr>
            </w:pPr>
            <w:r w:rsidRPr="005A74CA">
              <w:rPr>
                <w:strike/>
              </w:rPr>
              <w:t>52.8</w:t>
            </w:r>
          </w:p>
        </w:tc>
      </w:tr>
      <w:tr w:rsidR="00B87A4C" w:rsidRPr="00B87A4C" w14:paraId="695B6D2D" w14:textId="1C0E53C9"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F74B70A" w14:textId="77777777" w:rsidR="00B87A4C" w:rsidRPr="005A74CA" w:rsidRDefault="00B87A4C" w:rsidP="00DC0697">
            <w:pPr>
              <w:jc w:val="center"/>
              <w:rPr>
                <w:strike/>
              </w:rPr>
            </w:pPr>
            <w:r w:rsidRPr="005A74CA">
              <w:rPr>
                <w:strike/>
              </w:rPr>
              <w:t>51–75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B9EECE5" w14:textId="77777777" w:rsidR="00B87A4C" w:rsidRPr="005A74CA" w:rsidRDefault="00B87A4C" w:rsidP="00DC0697">
            <w:pPr>
              <w:jc w:val="center"/>
              <w:rPr>
                <w:strike/>
              </w:rPr>
            </w:pPr>
            <w:r w:rsidRPr="005A74CA">
              <w:rPr>
                <w:strike/>
              </w:rPr>
              <w:t>85.8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AF30D8B" w14:textId="77777777" w:rsidR="00B87A4C" w:rsidRPr="005A74CA" w:rsidRDefault="00B87A4C" w:rsidP="00DC0697">
            <w:pPr>
              <w:jc w:val="center"/>
              <w:rPr>
                <w:strike/>
              </w:rPr>
            </w:pPr>
            <w:r w:rsidRPr="005A74CA">
              <w:rPr>
                <w:strike/>
              </w:rPr>
              <w:t>85.8</w:t>
            </w:r>
          </w:p>
        </w:tc>
      </w:tr>
      <w:tr w:rsidR="00B87A4C" w:rsidRPr="00B87A4C" w14:paraId="154BC490" w14:textId="535E4A7D"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37855D3" w14:textId="77777777" w:rsidR="00B87A4C" w:rsidRPr="005A74CA" w:rsidRDefault="00B87A4C" w:rsidP="00DC0697">
            <w:pPr>
              <w:jc w:val="center"/>
              <w:rPr>
                <w:strike/>
              </w:rPr>
            </w:pPr>
            <w:r w:rsidRPr="005A74CA">
              <w:rPr>
                <w:strike/>
              </w:rPr>
              <w:t>76–100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A8170DE" w14:textId="77777777" w:rsidR="00B87A4C" w:rsidRPr="005A74CA" w:rsidRDefault="00B87A4C" w:rsidP="00DC0697">
            <w:pPr>
              <w:jc w:val="center"/>
              <w:rPr>
                <w:strike/>
              </w:rPr>
            </w:pPr>
            <w:r w:rsidRPr="005A74CA">
              <w:rPr>
                <w:strike/>
              </w:rPr>
              <w:t>112.2</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2D3E02D" w14:textId="77777777" w:rsidR="00B87A4C" w:rsidRPr="005A74CA" w:rsidRDefault="00B87A4C" w:rsidP="00DC0697">
            <w:pPr>
              <w:jc w:val="center"/>
              <w:rPr>
                <w:strike/>
              </w:rPr>
            </w:pPr>
            <w:r w:rsidRPr="005A74CA">
              <w:rPr>
                <w:strike/>
              </w:rPr>
              <w:t>112.2</w:t>
            </w:r>
          </w:p>
        </w:tc>
      </w:tr>
      <w:tr w:rsidR="00B87A4C" w:rsidRPr="00B87A4C" w14:paraId="19C2953C" w14:textId="6D49D0CF"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6C09438" w14:textId="77777777" w:rsidR="00B87A4C" w:rsidRPr="005A74CA" w:rsidRDefault="00B87A4C" w:rsidP="00DC0697">
            <w:pPr>
              <w:jc w:val="center"/>
              <w:rPr>
                <w:strike/>
              </w:rPr>
            </w:pPr>
            <w:r w:rsidRPr="005A74CA">
              <w:rPr>
                <w:strike/>
              </w:rPr>
              <w:t>101–150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02F2E5" w14:textId="77777777" w:rsidR="00B87A4C" w:rsidRPr="005A74CA" w:rsidRDefault="00B87A4C" w:rsidP="00DC0697">
            <w:pPr>
              <w:jc w:val="center"/>
              <w:rPr>
                <w:strike/>
              </w:rPr>
            </w:pPr>
            <w:r w:rsidRPr="005A74CA">
              <w:rPr>
                <w:strike/>
              </w:rPr>
              <w:t>165</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D2D3122" w14:textId="77777777" w:rsidR="00B87A4C" w:rsidRPr="005A74CA" w:rsidRDefault="00B87A4C" w:rsidP="00DC0697">
            <w:pPr>
              <w:jc w:val="center"/>
              <w:rPr>
                <w:strike/>
              </w:rPr>
            </w:pPr>
            <w:r w:rsidRPr="005A74CA">
              <w:rPr>
                <w:strike/>
              </w:rPr>
              <w:t>165</w:t>
            </w:r>
          </w:p>
        </w:tc>
      </w:tr>
      <w:tr w:rsidR="00B87A4C" w:rsidRPr="00B87A4C" w14:paraId="1A07FE11" w14:textId="438BB49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E3D4E5" w14:textId="77777777" w:rsidR="00B87A4C" w:rsidRPr="005A74CA" w:rsidRDefault="00B87A4C" w:rsidP="00DC0697">
            <w:pPr>
              <w:jc w:val="center"/>
              <w:rPr>
                <w:strike/>
              </w:rPr>
            </w:pPr>
            <w:r w:rsidRPr="005A74CA">
              <w:rPr>
                <w:strike/>
              </w:rPr>
              <w:t>151–200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6B3493" w14:textId="77777777" w:rsidR="00B87A4C" w:rsidRPr="005A74CA" w:rsidRDefault="00B87A4C" w:rsidP="00DC0697">
            <w:pPr>
              <w:jc w:val="center"/>
              <w:rPr>
                <w:strike/>
              </w:rPr>
            </w:pPr>
            <w:r w:rsidRPr="005A74CA">
              <w:rPr>
                <w:strike/>
              </w:rPr>
              <w:t>231</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6CCCE03" w14:textId="77777777" w:rsidR="00B87A4C" w:rsidRPr="005A74CA" w:rsidRDefault="00B87A4C" w:rsidP="00DC0697">
            <w:pPr>
              <w:jc w:val="center"/>
              <w:rPr>
                <w:strike/>
              </w:rPr>
            </w:pPr>
            <w:r w:rsidRPr="005A74CA">
              <w:rPr>
                <w:strike/>
              </w:rPr>
              <w:t>231</w:t>
            </w:r>
          </w:p>
        </w:tc>
      </w:tr>
      <w:tr w:rsidR="00B87A4C" w:rsidRPr="00B87A4C" w14:paraId="0EA8AB76" w14:textId="165209A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AA95C3" w14:textId="77777777" w:rsidR="00B87A4C" w:rsidRPr="005A74CA" w:rsidRDefault="00B87A4C" w:rsidP="004D068F">
            <w:pPr>
              <w:jc w:val="center"/>
              <w:rPr>
                <w:strike/>
              </w:rPr>
            </w:pPr>
            <w:r w:rsidRPr="005A74CA">
              <w:rPr>
                <w:strike/>
              </w:rPr>
              <w:t>201 and over</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E402D8A" w14:textId="77777777" w:rsidR="00B87A4C" w:rsidRPr="005A74CA" w:rsidRDefault="00B87A4C" w:rsidP="004D068F">
            <w:pPr>
              <w:jc w:val="center"/>
              <w:rPr>
                <w:strike/>
              </w:rPr>
            </w:pPr>
            <w:r w:rsidRPr="005A74CA">
              <w:rPr>
                <w:strike/>
              </w:rPr>
              <w:t>20 percent of actual parking spaces × 6.6</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F1FB67D" w14:textId="6315912B" w:rsidR="00B87A4C" w:rsidRPr="005A74CA" w:rsidRDefault="00B87A4C" w:rsidP="004D068F">
            <w:pPr>
              <w:jc w:val="center"/>
              <w:rPr>
                <w:strike/>
              </w:rPr>
            </w:pPr>
            <w:r w:rsidRPr="005A74CA">
              <w:rPr>
                <w:strike/>
              </w:rPr>
              <w:t>Total required kVA = P × .20 × 6.6</w:t>
            </w:r>
            <w:r w:rsidRPr="00B87A4C">
              <w:rPr>
                <w:strike/>
              </w:rPr>
              <w:t xml:space="preserve"> </w:t>
            </w:r>
            <w:r w:rsidRPr="005A74CA">
              <w:rPr>
                <w:strike/>
              </w:rPr>
              <w:t>Where P = Parking spaces in facility</w:t>
            </w:r>
          </w:p>
        </w:tc>
      </w:tr>
    </w:tbl>
    <w:p w14:paraId="77C67D5E" w14:textId="4340D966" w:rsidR="005A74CA" w:rsidRPr="005A74CA" w:rsidRDefault="005A74CA" w:rsidP="005A74CA">
      <w:pPr>
        <w:numPr>
          <w:ilvl w:val="0"/>
          <w:numId w:val="12"/>
        </w:numPr>
        <w:tabs>
          <w:tab w:val="num" w:pos="720"/>
        </w:tabs>
        <w:rPr>
          <w:strike/>
          <w:sz w:val="18"/>
          <w:szCs w:val="18"/>
        </w:rPr>
      </w:pPr>
      <w:r w:rsidRPr="005A74CA">
        <w:rPr>
          <w:strike/>
          <w:sz w:val="18"/>
          <w:szCs w:val="18"/>
        </w:rPr>
        <w:t>Level 2 EVSE @ 6.6 kVA minimum.</w:t>
      </w:r>
    </w:p>
    <w:p w14:paraId="14C4857F" w14:textId="37D7AF40" w:rsidR="005A74CA" w:rsidRPr="005A74CA" w:rsidRDefault="005A74CA" w:rsidP="005A74CA">
      <w:pPr>
        <w:numPr>
          <w:ilvl w:val="0"/>
          <w:numId w:val="12"/>
        </w:numPr>
        <w:tabs>
          <w:tab w:val="num" w:pos="720"/>
        </w:tabs>
        <w:rPr>
          <w:strike/>
          <w:sz w:val="18"/>
          <w:szCs w:val="18"/>
        </w:rPr>
      </w:pPr>
      <w:r w:rsidRPr="005A74CA">
        <w:rPr>
          <w:strike/>
          <w:sz w:val="18"/>
          <w:szCs w:val="18"/>
        </w:rPr>
        <w:t>At least one Level 2 EVSE shall be provided.</w:t>
      </w:r>
    </w:p>
    <w:p w14:paraId="524226D6" w14:textId="31BD5303" w:rsidR="005A74CA" w:rsidRPr="005A74CA" w:rsidRDefault="005A74CA" w:rsidP="005A74CA">
      <w:pPr>
        <w:numPr>
          <w:ilvl w:val="0"/>
          <w:numId w:val="12"/>
        </w:numPr>
        <w:tabs>
          <w:tab w:val="num" w:pos="720"/>
        </w:tabs>
        <w:rPr>
          <w:strike/>
          <w:sz w:val="18"/>
          <w:szCs w:val="18"/>
        </w:rPr>
      </w:pPr>
      <w:r w:rsidRPr="005A74CA">
        <w:rPr>
          <w:strike/>
          <w:sz w:val="18"/>
          <w:szCs w:val="18"/>
        </w:rPr>
        <w:t xml:space="preserve">Maximum allowed kVA to be utilized for EV capable spaces is </w:t>
      </w:r>
      <w:r w:rsidR="00992A74" w:rsidRPr="00B87A4C">
        <w:rPr>
          <w:strike/>
          <w:sz w:val="18"/>
          <w:szCs w:val="18"/>
          <w:u w:val="single"/>
        </w:rPr>
        <w:t>50</w:t>
      </w:r>
      <w:r w:rsidRPr="005A74CA">
        <w:rPr>
          <w:strike/>
          <w:sz w:val="18"/>
          <w:szCs w:val="18"/>
        </w:rPr>
        <w:t>75 percent.</w:t>
      </w:r>
    </w:p>
    <w:p w14:paraId="4ED8C771" w14:textId="7077286F" w:rsidR="005A74CA" w:rsidRPr="00B87A4C" w:rsidRDefault="005A74CA" w:rsidP="005A74CA">
      <w:pPr>
        <w:numPr>
          <w:ilvl w:val="0"/>
          <w:numId w:val="12"/>
        </w:numPr>
        <w:rPr>
          <w:strike/>
          <w:sz w:val="18"/>
          <w:szCs w:val="18"/>
        </w:rPr>
      </w:pPr>
      <w:r w:rsidRPr="005A74CA">
        <w:rPr>
          <w:strike/>
          <w:sz w:val="18"/>
          <w:szCs w:val="18"/>
        </w:rPr>
        <w:t>If EV capable spaces are utilized, they shall meet the requirements of Section 5.106.5.3.1 EV capable spaces.</w:t>
      </w:r>
    </w:p>
    <w:p w14:paraId="3A85212F" w14:textId="31BE63CF" w:rsidR="006E02C3" w:rsidRPr="008A414F" w:rsidRDefault="006E02C3" w:rsidP="006E02C3">
      <w:pPr>
        <w:pStyle w:val="NoSpacing"/>
        <w:ind w:left="720"/>
        <w:rPr>
          <w:u w:val="single"/>
        </w:rPr>
      </w:pPr>
      <w:r w:rsidRPr="005A74CA">
        <w:rPr>
          <w:b/>
          <w:bCs/>
        </w:rPr>
        <w:t>5.106.5.3.</w:t>
      </w:r>
      <w:r w:rsidR="008255F0">
        <w:rPr>
          <w:b/>
          <w:bCs/>
        </w:rPr>
        <w:t>6</w:t>
      </w:r>
      <w:r w:rsidRPr="005A74CA">
        <w:rPr>
          <w:b/>
          <w:bCs/>
        </w:rPr>
        <w:t>.1</w:t>
      </w:r>
      <w:r>
        <w:rPr>
          <w:b/>
          <w:bCs/>
        </w:rPr>
        <w:t xml:space="preserve"> </w:t>
      </w:r>
      <w:r w:rsidRPr="008A414F">
        <w:rPr>
          <w:b/>
          <w:bCs/>
          <w:u w:val="single"/>
        </w:rPr>
        <w:t xml:space="preserve">Receptacle Configurations. </w:t>
      </w:r>
      <w:r w:rsidRPr="008A414F">
        <w:rPr>
          <w:u w:val="single"/>
        </w:rPr>
        <w:t>208/240V EV charging receptacles</w:t>
      </w:r>
    </w:p>
    <w:p w14:paraId="2056C957" w14:textId="77777777" w:rsidR="006E02C3" w:rsidRPr="008A414F" w:rsidRDefault="006E02C3" w:rsidP="006E02C3">
      <w:pPr>
        <w:pStyle w:val="NoSpacing"/>
        <w:ind w:left="720"/>
        <w:rPr>
          <w:u w:val="single"/>
        </w:rPr>
      </w:pPr>
      <w:r w:rsidRPr="008A414F">
        <w:rPr>
          <w:u w:val="single"/>
        </w:rPr>
        <w:t>shall comply with one of the following configurations:</w:t>
      </w:r>
    </w:p>
    <w:p w14:paraId="3C76CA19" w14:textId="77777777" w:rsidR="006E02C3" w:rsidRPr="008A414F" w:rsidRDefault="006E02C3" w:rsidP="006E02C3">
      <w:pPr>
        <w:pStyle w:val="NoSpacing"/>
        <w:numPr>
          <w:ilvl w:val="2"/>
          <w:numId w:val="38"/>
        </w:numPr>
        <w:tabs>
          <w:tab w:val="clear" w:pos="2160"/>
        </w:tabs>
        <w:rPr>
          <w:u w:val="single"/>
        </w:rPr>
      </w:pPr>
      <w:r w:rsidRPr="008A414F">
        <w:rPr>
          <w:u w:val="single"/>
        </w:rPr>
        <w:t xml:space="preserve">For 20-ampere receptacles, NEMA 6-20R. </w:t>
      </w:r>
    </w:p>
    <w:p w14:paraId="34340377" w14:textId="77777777" w:rsidR="006E02C3" w:rsidRDefault="006E02C3" w:rsidP="006E02C3">
      <w:pPr>
        <w:pStyle w:val="NoSpacing"/>
        <w:numPr>
          <w:ilvl w:val="2"/>
          <w:numId w:val="38"/>
        </w:numPr>
        <w:tabs>
          <w:tab w:val="num" w:pos="1440"/>
        </w:tabs>
        <w:ind w:left="1440"/>
        <w:rPr>
          <w:u w:val="single"/>
        </w:rPr>
      </w:pPr>
      <w:r w:rsidRPr="008A414F">
        <w:rPr>
          <w:u w:val="single"/>
        </w:rPr>
        <w:t>For 30-ampere receptacles, NEMA 14-30R.</w:t>
      </w:r>
    </w:p>
    <w:p w14:paraId="4A75B2AA" w14:textId="77777777" w:rsidR="006E02C3" w:rsidRPr="00747E73" w:rsidRDefault="006E02C3" w:rsidP="006E02C3">
      <w:pPr>
        <w:pStyle w:val="NoSpacing"/>
        <w:numPr>
          <w:ilvl w:val="2"/>
          <w:numId w:val="38"/>
        </w:numPr>
        <w:tabs>
          <w:tab w:val="clear" w:pos="2160"/>
          <w:tab w:val="num" w:pos="1440"/>
        </w:tabs>
        <w:ind w:left="1440"/>
        <w:rPr>
          <w:u w:val="single"/>
        </w:rPr>
      </w:pPr>
      <w:r w:rsidRPr="00747E73">
        <w:rPr>
          <w:u w:val="single"/>
        </w:rPr>
        <w:t>For 50-ampere receptacles, NEMA 14-50R</w:t>
      </w:r>
      <w:r>
        <w:rPr>
          <w:u w:val="single"/>
        </w:rPr>
        <w:t>.</w:t>
      </w:r>
    </w:p>
    <w:p w14:paraId="2053F3B5" w14:textId="77777777" w:rsidR="006E02C3" w:rsidRDefault="006E02C3" w:rsidP="006E02C3">
      <w:pPr>
        <w:pStyle w:val="NoSpacing"/>
        <w:ind w:left="720"/>
        <w:rPr>
          <w:b/>
          <w:bCs/>
          <w:u w:val="single"/>
        </w:rPr>
      </w:pPr>
    </w:p>
    <w:p w14:paraId="4FB93953" w14:textId="734CE19C" w:rsidR="006E02C3" w:rsidRPr="00B16852" w:rsidRDefault="006E02C3" w:rsidP="006E02C3">
      <w:pPr>
        <w:pStyle w:val="NoSpacing"/>
        <w:ind w:left="720"/>
        <w:rPr>
          <w:u w:val="single"/>
        </w:rPr>
      </w:pPr>
      <w:r w:rsidRPr="00B16852">
        <w:rPr>
          <w:b/>
          <w:bCs/>
          <w:u w:val="single"/>
        </w:rPr>
        <w:t>5.106.5.3.</w:t>
      </w:r>
      <w:r w:rsidR="008255F0">
        <w:rPr>
          <w:b/>
          <w:bCs/>
          <w:u w:val="single"/>
        </w:rPr>
        <w:t>6</w:t>
      </w:r>
      <w:r w:rsidRPr="00B16852">
        <w:rPr>
          <w:b/>
          <w:bCs/>
          <w:u w:val="single"/>
        </w:rPr>
        <w:t>.2 EV Charger Connectors.</w:t>
      </w:r>
      <w:r w:rsidRPr="00B16852">
        <w:rPr>
          <w:b/>
          <w:bCs/>
        </w:rPr>
        <w:t xml:space="preserve"> </w:t>
      </w:r>
      <w:r w:rsidRPr="00B16852">
        <w:rPr>
          <w:u w:val="single"/>
        </w:rPr>
        <w:t>EV chargers shall be equipped with SAE</w:t>
      </w:r>
    </w:p>
    <w:p w14:paraId="0FD90570" w14:textId="77777777" w:rsidR="006E02C3" w:rsidRPr="00B16852" w:rsidRDefault="006E02C3" w:rsidP="006E02C3">
      <w:pPr>
        <w:pStyle w:val="NoSpacing"/>
        <w:ind w:left="720"/>
        <w:rPr>
          <w:u w:val="single"/>
        </w:rPr>
      </w:pPr>
      <w:r w:rsidRPr="00B16852">
        <w:rPr>
          <w:u w:val="single"/>
        </w:rPr>
        <w:t>J1772 with a maximum output 240 Volts AC or SAE J3400 connectors.</w:t>
      </w:r>
    </w:p>
    <w:p w14:paraId="13B25CD4" w14:textId="77777777" w:rsidR="006E02C3" w:rsidRPr="00B16852" w:rsidRDefault="006E02C3" w:rsidP="006E02C3">
      <w:pPr>
        <w:pStyle w:val="NoSpacing"/>
        <w:ind w:left="720"/>
        <w:rPr>
          <w:u w:val="single"/>
        </w:rPr>
      </w:pPr>
      <w:r w:rsidRPr="00B16852">
        <w:rPr>
          <w:u w:val="single"/>
        </w:rPr>
        <w:t>When using level 2 SAE J3400 SAE connectors, supplied by a 480 V 3-phase</w:t>
      </w:r>
    </w:p>
    <w:p w14:paraId="3C9FDAE7" w14:textId="77777777" w:rsidR="006E02C3" w:rsidRPr="00B16852" w:rsidRDefault="006E02C3" w:rsidP="006E02C3">
      <w:pPr>
        <w:pStyle w:val="NoSpacing"/>
        <w:ind w:left="720"/>
        <w:rPr>
          <w:u w:val="single"/>
        </w:rPr>
      </w:pPr>
      <w:r w:rsidRPr="00B16852">
        <w:rPr>
          <w:u w:val="single"/>
        </w:rPr>
        <w:t>service, then at least 20 percent of the EV charger connectors shall be SAE</w:t>
      </w:r>
    </w:p>
    <w:p w14:paraId="5B9D97FF" w14:textId="77777777" w:rsidR="006E02C3" w:rsidRDefault="006E02C3" w:rsidP="006E02C3">
      <w:pPr>
        <w:ind w:left="720"/>
        <w:rPr>
          <w:u w:val="single"/>
        </w:rPr>
      </w:pPr>
      <w:r w:rsidRPr="009D056D">
        <w:rPr>
          <w:u w:val="single"/>
        </w:rPr>
        <w:t>J1772 with a maximum output 240 Volts AC.</w:t>
      </w:r>
    </w:p>
    <w:p w14:paraId="3E54D776" w14:textId="58BF4DB9" w:rsidR="005A0AC9" w:rsidRPr="009D056D" w:rsidRDefault="005A0AC9" w:rsidP="006E02C3">
      <w:pPr>
        <w:ind w:left="720"/>
        <w:rPr>
          <w:u w:val="single"/>
        </w:rPr>
      </w:pPr>
      <w:r w:rsidRPr="005A0AC9">
        <w:rPr>
          <w:b/>
          <w:bCs/>
          <w:u w:val="single"/>
        </w:rPr>
        <w:lastRenderedPageBreak/>
        <w:t>5.106.5.3.6.3 Raceway Capacity Requirements.</w:t>
      </w:r>
      <w:r w:rsidRPr="005A0AC9">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4506D24" w14:textId="77777777" w:rsidR="004D068F" w:rsidRPr="005A74CA" w:rsidRDefault="004D068F" w:rsidP="004D068F">
      <w:pPr>
        <w:ind w:left="720"/>
      </w:pPr>
    </w:p>
    <w:p w14:paraId="4F0EC9A2" w14:textId="77777777" w:rsidR="005A74CA" w:rsidRPr="005A74CA" w:rsidRDefault="005A74CA" w:rsidP="005A74CA">
      <w:pPr>
        <w:rPr>
          <w:b/>
          <w:bCs/>
        </w:rPr>
      </w:pPr>
      <w:r w:rsidRPr="005A74CA">
        <w:rPr>
          <w:b/>
          <w:bCs/>
        </w:rPr>
        <w:t>5.106.5.4 Additions or alterations to existing buildings or parking facilities [A].</w:t>
      </w:r>
    </w:p>
    <w:p w14:paraId="055A392D" w14:textId="6EC041F2" w:rsidR="005A74CA" w:rsidRPr="005A74CA" w:rsidRDefault="005A74CA" w:rsidP="005A74CA">
      <w:r w:rsidRPr="005A74CA">
        <w:rPr>
          <w:b/>
          <w:bCs/>
        </w:rPr>
        <w:t>[BSC-CG]</w:t>
      </w:r>
      <w:r w:rsidRPr="005A74CA">
        <w:t> Existing buildings or parking facilities being modified by one of the following shall comply with </w:t>
      </w:r>
      <w:r w:rsidRPr="00A13340">
        <w:t>Section 5.106.5.4.1</w:t>
      </w:r>
      <w:r w:rsidRPr="005A74CA">
        <w:t> or </w:t>
      </w:r>
      <w:r w:rsidRPr="00A13340">
        <w:t>5.106.5.4.2</w:t>
      </w:r>
      <w:r w:rsidRPr="005A74CA">
        <w:t>. When EVSE is installed, accessible EVCS shall be provided in accordance with the California Building Code, Chapter 11B, </w:t>
      </w:r>
      <w:hyperlink r:id="rId30" w:history="1">
        <w:r w:rsidRPr="005A74CA">
          <w:rPr>
            <w:rStyle w:val="Hyperlink"/>
          </w:rPr>
          <w:t>Section 11B-228.3</w:t>
        </w:r>
      </w:hyperlink>
      <w:r w:rsidRPr="005A74CA">
        <w:t>.</w:t>
      </w:r>
    </w:p>
    <w:p w14:paraId="71502758" w14:textId="2F262666" w:rsidR="005A74CA" w:rsidRPr="005A74CA" w:rsidRDefault="005A74CA" w:rsidP="009E5AAA">
      <w:pPr>
        <w:numPr>
          <w:ilvl w:val="0"/>
          <w:numId w:val="41"/>
        </w:numPr>
      </w:pPr>
      <w:r w:rsidRPr="005A74CA">
        <w:t>When the scope of construction work includes an increase</w:t>
      </w:r>
      <w:r w:rsidR="00213415">
        <w:t xml:space="preserve"> </w:t>
      </w:r>
      <w:r w:rsidR="00213415" w:rsidRPr="009E5AAA">
        <w:rPr>
          <w:u w:val="single"/>
        </w:rPr>
        <w:t>or alteration</w:t>
      </w:r>
      <w:r w:rsidRPr="005A74CA">
        <w:t xml:space="preserve"> </w:t>
      </w:r>
      <w:r w:rsidRPr="009E5AAA">
        <w:rPr>
          <w:strike/>
        </w:rPr>
        <w:t>in</w:t>
      </w:r>
      <w:r w:rsidR="00213415" w:rsidRPr="009E5AAA">
        <w:rPr>
          <w:u w:val="single"/>
        </w:rPr>
        <w:t>to</w:t>
      </w:r>
      <w:r w:rsidRPr="005A74CA">
        <w:t xml:space="preserve"> power supply to an electric service panel as part of a parking facility addition or alteration.</w:t>
      </w:r>
    </w:p>
    <w:p w14:paraId="2B025D6C" w14:textId="7A1AFB7D" w:rsidR="005A74CA" w:rsidRPr="005A74CA" w:rsidRDefault="005A74CA" w:rsidP="009E5AAA">
      <w:pPr>
        <w:numPr>
          <w:ilvl w:val="0"/>
          <w:numId w:val="41"/>
        </w:numPr>
      </w:pPr>
      <w:r w:rsidRPr="005A74CA">
        <w:t>When a new photovoltaic system is installed covering existing parking spaces.</w:t>
      </w:r>
    </w:p>
    <w:p w14:paraId="14C6B4DB" w14:textId="28625BF6" w:rsidR="005A74CA" w:rsidRDefault="005A74CA" w:rsidP="009E5AAA">
      <w:pPr>
        <w:numPr>
          <w:ilvl w:val="0"/>
          <w:numId w:val="41"/>
        </w:numPr>
      </w:pPr>
      <w:r w:rsidRPr="005A74CA">
        <w:t>When additions or alterations to existing buildings are triggered pursuant to code </w:t>
      </w:r>
      <w:r w:rsidRPr="00A13340">
        <w:t>Section 301.3</w:t>
      </w:r>
      <w:r w:rsidRPr="005A74CA">
        <w:t> and the scope of work includes an increase in power supply to an electric service panel.</w:t>
      </w:r>
    </w:p>
    <w:p w14:paraId="4CB703DA" w14:textId="00802149" w:rsidR="00163B52" w:rsidRPr="0093367B" w:rsidRDefault="00163B52" w:rsidP="009E5AAA">
      <w:pPr>
        <w:numPr>
          <w:ilvl w:val="0"/>
          <w:numId w:val="41"/>
        </w:numPr>
        <w:rPr>
          <w:u w:val="single"/>
        </w:rPr>
      </w:pPr>
      <w:r w:rsidRPr="0093367B">
        <w:rPr>
          <w:u w:val="single"/>
        </w:rPr>
        <w:t>Addition of parking facilities</w:t>
      </w:r>
      <w:r w:rsidR="00DD0CE9" w:rsidRPr="0093367B">
        <w:rPr>
          <w:u w:val="single"/>
        </w:rPr>
        <w:t xml:space="preserve"> or </w:t>
      </w:r>
      <w:r w:rsidR="0099310D" w:rsidRPr="0093367B">
        <w:rPr>
          <w:u w:val="single"/>
        </w:rPr>
        <w:t xml:space="preserve">alterations that include </w:t>
      </w:r>
      <w:r w:rsidR="00451F5E" w:rsidRPr="0093367B">
        <w:rPr>
          <w:u w:val="single"/>
        </w:rPr>
        <w:t xml:space="preserve">breaking ground </w:t>
      </w:r>
      <w:r w:rsidR="00F0662A" w:rsidRPr="0093367B">
        <w:rPr>
          <w:u w:val="single"/>
        </w:rPr>
        <w:t xml:space="preserve">on </w:t>
      </w:r>
      <w:r w:rsidR="00451F5E" w:rsidRPr="0093367B">
        <w:rPr>
          <w:u w:val="single"/>
        </w:rPr>
        <w:t>existing parking surfaces</w:t>
      </w:r>
    </w:p>
    <w:p w14:paraId="2614E703" w14:textId="77777777" w:rsidR="005A74CA" w:rsidRPr="005A74CA" w:rsidRDefault="005A74CA" w:rsidP="005A74CA">
      <w:r w:rsidRPr="005A74CA">
        <w:rPr>
          <w:b/>
          <w:bCs/>
        </w:rPr>
        <w:t>Exceptions:</w:t>
      </w:r>
    </w:p>
    <w:p w14:paraId="0AEF3370" w14:textId="2BC7755F" w:rsidR="005A74CA" w:rsidRPr="005A74CA" w:rsidRDefault="005A74CA" w:rsidP="009E5AAA">
      <w:pPr>
        <w:numPr>
          <w:ilvl w:val="0"/>
          <w:numId w:val="42"/>
        </w:numPr>
      </w:pPr>
      <w:r w:rsidRPr="005A74CA">
        <w:t>On a case-by-case basis where the local enforcing agency has determined compliance with this section is not feasible based upon one of the following conditions:</w:t>
      </w:r>
    </w:p>
    <w:p w14:paraId="1594FEE5" w14:textId="6B087165" w:rsidR="005A74CA" w:rsidRPr="005A74CA" w:rsidRDefault="005A74CA" w:rsidP="009E5AAA">
      <w:pPr>
        <w:pStyle w:val="ListParagraph"/>
        <w:numPr>
          <w:ilvl w:val="1"/>
          <w:numId w:val="42"/>
        </w:numPr>
      </w:pPr>
      <w:r w:rsidRPr="005A74CA">
        <w:t>Where there is no local utility power supply.</w:t>
      </w:r>
    </w:p>
    <w:p w14:paraId="10035B4E" w14:textId="5E6B159B" w:rsidR="005A74CA" w:rsidRPr="005A74CA" w:rsidRDefault="005A74CA" w:rsidP="009E5AAA">
      <w:pPr>
        <w:numPr>
          <w:ilvl w:val="1"/>
          <w:numId w:val="42"/>
        </w:numPr>
      </w:pPr>
      <w:r w:rsidRPr="005A74CA">
        <w:t>Where the local utility is unable to supply adequate power.</w:t>
      </w:r>
    </w:p>
    <w:p w14:paraId="6BD27715" w14:textId="24CC436D" w:rsidR="005A74CA" w:rsidRPr="005A74CA" w:rsidRDefault="005A74CA" w:rsidP="009E5AAA">
      <w:pPr>
        <w:numPr>
          <w:ilvl w:val="1"/>
          <w:numId w:val="42"/>
        </w:numPr>
      </w:pPr>
      <w:r w:rsidRPr="005A74CA">
        <w:t>Where there is evidence suitable to the local enforcement agency substantiating that additional local utility infrastructure design requirements, directly related to the implementation of </w:t>
      </w:r>
      <w:r w:rsidRPr="00A13340">
        <w:t>Section 5.106.5.3</w:t>
      </w:r>
      <w:r w:rsidRPr="005A74CA">
        <w:t xml:space="preserve">, </w:t>
      </w:r>
      <w:r w:rsidRPr="005F70D0">
        <w:rPr>
          <w:u w:val="single"/>
        </w:rPr>
        <w:t xml:space="preserve">may </w:t>
      </w:r>
      <w:r w:rsidR="000500D7" w:rsidRPr="005F70D0">
        <w:rPr>
          <w:u w:val="single"/>
        </w:rPr>
        <w:t>increase construction cost by an average of $4,500 per parking space. EV infrastructure shall be provided up to the level that would not exceed this cost for utility service</w:t>
      </w:r>
      <w:r w:rsidR="000500D7" w:rsidRPr="000500D7">
        <w:t>.</w:t>
      </w:r>
      <w:r w:rsidR="005F70D0">
        <w:t xml:space="preserve"> </w:t>
      </w:r>
      <w:r w:rsidRPr="005F70D0">
        <w:rPr>
          <w:strike/>
        </w:rPr>
        <w:t>adversely impact the construction cost of the project</w:t>
      </w:r>
      <w:r w:rsidRPr="005A74CA">
        <w:t>.</w:t>
      </w:r>
    </w:p>
    <w:p w14:paraId="042F3FDE" w14:textId="2C935425" w:rsidR="005A74CA" w:rsidRPr="005A74CA" w:rsidRDefault="005A74CA" w:rsidP="009E5AAA">
      <w:pPr>
        <w:numPr>
          <w:ilvl w:val="1"/>
          <w:numId w:val="42"/>
        </w:numPr>
      </w:pPr>
      <w:r w:rsidRPr="005A74CA">
        <w:t>Where demonstrated as impracticable excluding local utility service or utility infrastructure issues.</w:t>
      </w:r>
    </w:p>
    <w:p w14:paraId="23B1D608" w14:textId="1C10A55B" w:rsidR="005A74CA" w:rsidRPr="005A74CA" w:rsidRDefault="005A74CA" w:rsidP="009E5AAA">
      <w:pPr>
        <w:numPr>
          <w:ilvl w:val="0"/>
          <w:numId w:val="42"/>
        </w:numPr>
      </w:pPr>
      <w:r w:rsidRPr="005A74CA">
        <w:t>Remote parking facilities that do not have access to the building service panel.</w:t>
      </w:r>
    </w:p>
    <w:p w14:paraId="786CB516" w14:textId="4EA612E9" w:rsidR="005A74CA" w:rsidRPr="005A74CA" w:rsidRDefault="005A74CA" w:rsidP="009E5AAA">
      <w:pPr>
        <w:numPr>
          <w:ilvl w:val="0"/>
          <w:numId w:val="42"/>
        </w:numPr>
      </w:pPr>
      <w:r w:rsidRPr="005A74CA">
        <w:t>Parking area lighting upgrades where no trenching is part of the scope of work.</w:t>
      </w:r>
    </w:p>
    <w:p w14:paraId="7D6C186E" w14:textId="5B5CA6EF" w:rsidR="005A74CA" w:rsidRPr="005A74CA" w:rsidRDefault="005A74CA" w:rsidP="009E5AAA">
      <w:pPr>
        <w:numPr>
          <w:ilvl w:val="0"/>
          <w:numId w:val="42"/>
        </w:numPr>
      </w:pPr>
      <w:r w:rsidRPr="005A74CA">
        <w:t>Emergency repairs, including but not limited to water line break in parking facilities, natural disaster repairs, etc.</w:t>
      </w:r>
    </w:p>
    <w:p w14:paraId="44710831" w14:textId="77777777" w:rsidR="00647006" w:rsidRDefault="00647006" w:rsidP="005A74CA">
      <w:pPr>
        <w:rPr>
          <w:b/>
          <w:bCs/>
        </w:rPr>
      </w:pPr>
    </w:p>
    <w:p w14:paraId="04FBBEAE" w14:textId="6D35CFC7" w:rsidR="005A74CA" w:rsidRPr="005A74CA" w:rsidRDefault="005A74CA" w:rsidP="00766005">
      <w:pPr>
        <w:ind w:left="360"/>
        <w:rPr>
          <w:b/>
          <w:bCs/>
        </w:rPr>
      </w:pPr>
      <w:r w:rsidRPr="005A74CA">
        <w:rPr>
          <w:b/>
          <w:bCs/>
        </w:rPr>
        <w:lastRenderedPageBreak/>
        <w:t>5.106.5.4.1 Existing buildings or parking areas without previously installed EV capable infrastructure [A].</w:t>
      </w:r>
    </w:p>
    <w:p w14:paraId="48CED5C1" w14:textId="4754B42D" w:rsidR="005A74CA" w:rsidRPr="005A74CA" w:rsidRDefault="005A74CA" w:rsidP="00766005">
      <w:pPr>
        <w:ind w:left="360"/>
      </w:pPr>
      <w:r w:rsidRPr="005A74CA">
        <w:t>When EV capable infrastructure does not exist at an existing parking facility or building, and the parking facility or building undergoes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for the total number of actual parking spaces being added or altered.</w:t>
      </w:r>
    </w:p>
    <w:p w14:paraId="0B819B2D" w14:textId="77777777" w:rsidR="00766005" w:rsidRDefault="00766005" w:rsidP="00766005">
      <w:pPr>
        <w:ind w:left="360"/>
        <w:rPr>
          <w:b/>
          <w:bCs/>
        </w:rPr>
      </w:pPr>
    </w:p>
    <w:p w14:paraId="73E93FD4" w14:textId="67DFB076" w:rsidR="005A74CA" w:rsidRPr="005A74CA" w:rsidRDefault="005A74CA" w:rsidP="00766005">
      <w:pPr>
        <w:ind w:left="360"/>
        <w:rPr>
          <w:b/>
          <w:bCs/>
        </w:rPr>
      </w:pPr>
      <w:r w:rsidRPr="005A74CA">
        <w:rPr>
          <w:b/>
          <w:bCs/>
        </w:rPr>
        <w:t>5.106.5.4.2 Existing buildings or parking areas with previously installed EV capable infrastructure [A].</w:t>
      </w:r>
    </w:p>
    <w:p w14:paraId="5642A392" w14:textId="1D4BE0C3" w:rsidR="005A74CA" w:rsidRPr="005A74CA" w:rsidRDefault="005A74CA" w:rsidP="00766005">
      <w:pPr>
        <w:ind w:left="360"/>
      </w:pPr>
      <w:r w:rsidRPr="005A74CA">
        <w:t>When EV capable infrastructure is available at an existing parking facility or building, and the parking facility or building is undergoing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utilizing the existing EV capable allocated power and infrastructure for the total number of actual parking spaces being added or altered. If the area being added or altered exceeds the existing EV capable capacity, allocated power and infrastructure, provide additional EV charging as needed to comply with this section.</w:t>
      </w:r>
    </w:p>
    <w:p w14:paraId="6EBBAB34" w14:textId="77777777" w:rsidR="00766005" w:rsidRDefault="00766005" w:rsidP="005A74CA">
      <w:pPr>
        <w:rPr>
          <w:b/>
          <w:bCs/>
        </w:rPr>
      </w:pPr>
    </w:p>
    <w:p w14:paraId="2B19337E" w14:textId="1C511C69" w:rsidR="005A74CA" w:rsidRPr="005A74CA" w:rsidRDefault="005A74CA" w:rsidP="005A74CA">
      <w:pPr>
        <w:rPr>
          <w:b/>
          <w:bCs/>
        </w:rPr>
      </w:pPr>
      <w:r w:rsidRPr="005A74CA">
        <w:rPr>
          <w:b/>
          <w:bCs/>
        </w:rPr>
        <w:t>5.106.5.5 Electric vehicle (EV) charging: medium-duty and heavy-duty.</w:t>
      </w:r>
    </w:p>
    <w:p w14:paraId="00D94204" w14:textId="11761A4B" w:rsidR="005A74CA" w:rsidRPr="005A74CA" w:rsidRDefault="005A74CA" w:rsidP="005A74CA">
      <w:pPr>
        <w:rPr>
          <w:u w:val="single"/>
        </w:rPr>
      </w:pPr>
      <w:r w:rsidRPr="005A74CA">
        <w:rPr>
          <w:b/>
          <w:bCs/>
        </w:rPr>
        <w:t>[N] [BSG-CG]</w:t>
      </w:r>
      <w:r w:rsidRPr="005A74CA">
        <w:t> Construction shall comply with </w:t>
      </w:r>
      <w:r w:rsidRPr="00A13340">
        <w:t>Section 5.106.5.5.1</w:t>
      </w:r>
      <w:r w:rsidRPr="005A74CA">
        <w:t> to facilitate future installation of electric vehicle supply equipment (EVSE). Construction for warehouses, grocery stores and retail stores, office buildings, and manufacturing facilities with planned off-street loading spaces shall also comply with </w:t>
      </w:r>
      <w:r w:rsidRPr="00A13340">
        <w:t>Section 5.106.5.5.1</w:t>
      </w:r>
      <w:r w:rsidRPr="005A74CA">
        <w:t> for future installation of medium- and heavy-duty EVSE.</w:t>
      </w:r>
      <w:r w:rsidR="00AA1319">
        <w:t xml:space="preserve"> </w:t>
      </w:r>
    </w:p>
    <w:p w14:paraId="29C653BE" w14:textId="77777777" w:rsidR="005A74CA" w:rsidRPr="005A74CA" w:rsidRDefault="005A74CA" w:rsidP="005A74CA">
      <w:r w:rsidRPr="005A74CA">
        <w:rPr>
          <w:b/>
          <w:bCs/>
        </w:rPr>
        <w:t>Exceptions:</w:t>
      </w:r>
    </w:p>
    <w:p w14:paraId="38877405" w14:textId="18DD2920" w:rsidR="005A74CA" w:rsidRPr="005A74CA" w:rsidRDefault="005A74CA" w:rsidP="005A74CA">
      <w:pPr>
        <w:numPr>
          <w:ilvl w:val="0"/>
          <w:numId w:val="15"/>
        </w:numPr>
      </w:pPr>
      <w:r w:rsidRPr="005A74CA">
        <w:t>On a case-by-case basis where the local enforcing agency has determined compliance with this section is not feasible based upon one of the following conditions:</w:t>
      </w:r>
    </w:p>
    <w:p w14:paraId="3F7ABA8C" w14:textId="6DB72509" w:rsidR="005A74CA" w:rsidRPr="005A74CA" w:rsidRDefault="005A74CA" w:rsidP="00766005">
      <w:pPr>
        <w:pStyle w:val="ListParagraph"/>
        <w:numPr>
          <w:ilvl w:val="1"/>
          <w:numId w:val="15"/>
        </w:numPr>
      </w:pPr>
      <w:r w:rsidRPr="005A74CA">
        <w:t>Where there is no local utility power supply.</w:t>
      </w:r>
    </w:p>
    <w:p w14:paraId="62535D08" w14:textId="78865708" w:rsidR="005A74CA" w:rsidRPr="005A74CA" w:rsidRDefault="005A74CA" w:rsidP="005A74CA">
      <w:pPr>
        <w:numPr>
          <w:ilvl w:val="1"/>
          <w:numId w:val="15"/>
        </w:numPr>
      </w:pPr>
      <w:r w:rsidRPr="005A74CA">
        <w:t>Where the local utility is unable to supply adequate power.</w:t>
      </w:r>
    </w:p>
    <w:p w14:paraId="3324E362" w14:textId="55A866FC" w:rsidR="005A74CA" w:rsidRPr="005A74CA" w:rsidRDefault="448946A8" w:rsidP="005A74CA">
      <w:pPr>
        <w:numPr>
          <w:ilvl w:val="1"/>
          <w:numId w:val="15"/>
        </w:numPr>
      </w:pPr>
      <w:r>
        <w:t xml:space="preserve">Where there is evidence suitable to the local enforcing agency substantiating that additional local utility infrastructure design requirements, directly related to the implementation of Section 5.106.5.3, may </w:t>
      </w:r>
      <w:r w:rsidRPr="448946A8">
        <w:rPr>
          <w:u w:val="single"/>
        </w:rPr>
        <w:t>increase construction cost by an average of $10,000 per parking space. EV infrastructure shall be provided up to the level that would not exceed this cost for utility service.</w:t>
      </w:r>
      <w:r>
        <w:t xml:space="preserve"> </w:t>
      </w:r>
      <w:r w:rsidRPr="448946A8">
        <w:rPr>
          <w:strike/>
        </w:rPr>
        <w:t>adversely impact the construction cost of the project.</w:t>
      </w:r>
    </w:p>
    <w:p w14:paraId="2933FA86" w14:textId="77777777" w:rsidR="005A74CA" w:rsidRPr="005A74CA" w:rsidRDefault="005A74CA" w:rsidP="005A74CA">
      <w:r w:rsidRPr="005A74CA">
        <w:t>When EVSE(s) is/are installed, it shall be in accordance with the </w:t>
      </w:r>
      <w:hyperlink r:id="rId31" w:history="1">
        <w:r w:rsidRPr="005A74CA">
          <w:rPr>
            <w:rStyle w:val="Hyperlink"/>
            <w:i/>
            <w:iCs/>
          </w:rPr>
          <w:t>California Building Code</w:t>
        </w:r>
      </w:hyperlink>
      <w:r w:rsidRPr="005A74CA">
        <w:t>, the </w:t>
      </w:r>
      <w:hyperlink r:id="rId32" w:history="1">
        <w:r w:rsidRPr="005A74CA">
          <w:rPr>
            <w:rStyle w:val="Hyperlink"/>
            <w:i/>
            <w:iCs/>
          </w:rPr>
          <w:t>California Electrical Code</w:t>
        </w:r>
      </w:hyperlink>
      <w:r w:rsidRPr="005A74CA">
        <w:t> and as follows:</w:t>
      </w:r>
    </w:p>
    <w:p w14:paraId="48E52D3A" w14:textId="77777777" w:rsidR="00766005" w:rsidRDefault="00766005" w:rsidP="005A74CA">
      <w:pPr>
        <w:rPr>
          <w:b/>
          <w:bCs/>
        </w:rPr>
      </w:pPr>
    </w:p>
    <w:p w14:paraId="1590A53D" w14:textId="436305E0" w:rsidR="005A74CA" w:rsidRPr="005A74CA" w:rsidRDefault="005A74CA" w:rsidP="00822B0E">
      <w:pPr>
        <w:ind w:left="360"/>
        <w:rPr>
          <w:b/>
          <w:bCs/>
        </w:rPr>
      </w:pPr>
      <w:r w:rsidRPr="005A74CA">
        <w:rPr>
          <w:b/>
          <w:bCs/>
        </w:rPr>
        <w:lastRenderedPageBreak/>
        <w:t>5.106.5.5.1 Electric vehicle charging readiness requirements for warehouses, grocery stores, office buildings, and manufacturing facilities and retail stores with planned off-street loading spaces.</w:t>
      </w:r>
    </w:p>
    <w:p w14:paraId="691FC5C9" w14:textId="77777777" w:rsidR="005A74CA" w:rsidRPr="005A74CA" w:rsidRDefault="005A74CA" w:rsidP="00822B0E">
      <w:pPr>
        <w:ind w:left="360"/>
      </w:pPr>
      <w:r w:rsidRPr="005A74CA">
        <w:rPr>
          <w:b/>
          <w:bCs/>
        </w:rPr>
        <w:t>[N]</w:t>
      </w:r>
      <w:r w:rsidRPr="005A74CA">
        <w:t> In order to avoid future demolition when adding EV supply and distribution equipment, spare raceway(s) or busway(s) and adequate capacity for transformer(s), service panel(s) or subpanel(s) shall be installed at the time of construction in accordance with the </w:t>
      </w:r>
      <w:hyperlink r:id="rId33" w:history="1">
        <w:r w:rsidRPr="005A74CA">
          <w:rPr>
            <w:rStyle w:val="Hyperlink"/>
            <w:i/>
            <w:iCs/>
          </w:rPr>
          <w:t>California Electrical Code</w:t>
        </w:r>
      </w:hyperlink>
      <w:r w:rsidRPr="005A74CA">
        <w:t>. Construction plans and specifications shall include, but are not limited to, the following:</w:t>
      </w:r>
    </w:p>
    <w:p w14:paraId="02F3ABCE" w14:textId="572E8526" w:rsidR="005A74CA" w:rsidRPr="005A74CA" w:rsidRDefault="005A74CA" w:rsidP="00822B0E">
      <w:pPr>
        <w:numPr>
          <w:ilvl w:val="0"/>
          <w:numId w:val="16"/>
        </w:numPr>
        <w:tabs>
          <w:tab w:val="clear" w:pos="720"/>
          <w:tab w:val="num" w:pos="1080"/>
        </w:tabs>
        <w:ind w:left="1080"/>
      </w:pPr>
      <w:r w:rsidRPr="005A74CA">
        <w:t>The transformer, main service equipment and subpanels shall meet the minimum power requirement in </w:t>
      </w:r>
      <w:r w:rsidRPr="00E323CA">
        <w:t>Table 5.106.5.5.1</w:t>
      </w:r>
      <w:r w:rsidRPr="005A74CA">
        <w:t> to accommodate the dedicated branch circuits for the future installation of EVSE.</w:t>
      </w:r>
    </w:p>
    <w:p w14:paraId="5912B402" w14:textId="20FB72B8" w:rsidR="005A74CA" w:rsidRPr="005A74CA" w:rsidRDefault="005A74CA" w:rsidP="00822B0E">
      <w:pPr>
        <w:numPr>
          <w:ilvl w:val="0"/>
          <w:numId w:val="16"/>
        </w:numPr>
        <w:tabs>
          <w:tab w:val="clear" w:pos="720"/>
          <w:tab w:val="num" w:pos="360"/>
        </w:tabs>
        <w:ind w:left="1080"/>
      </w:pPr>
      <w:r w:rsidRPr="005A74CA">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w:t>
      </w:r>
      <w:r w:rsidRPr="00E323CA">
        <w:t>Table 5.106.5.5.1</w:t>
      </w:r>
      <w:r w:rsidRPr="005A74CA">
        <w:t>.</w:t>
      </w:r>
    </w:p>
    <w:p w14:paraId="3D909715" w14:textId="4C265C67" w:rsidR="005A74CA" w:rsidRPr="005A74CA" w:rsidRDefault="005A74CA" w:rsidP="00822B0E">
      <w:pPr>
        <w:numPr>
          <w:ilvl w:val="0"/>
          <w:numId w:val="16"/>
        </w:numPr>
        <w:ind w:left="1080"/>
      </w:pPr>
      <w:r w:rsidRPr="005A74CA">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6F00CFC0" w14:textId="23A9DC8C" w:rsidR="005A74CA" w:rsidRPr="005A74CA" w:rsidRDefault="005A74CA" w:rsidP="00822B0E">
      <w:pPr>
        <w:numPr>
          <w:ilvl w:val="0"/>
          <w:numId w:val="16"/>
        </w:numPr>
        <w:ind w:left="1080"/>
      </w:pPr>
      <w:r w:rsidRPr="005A74CA">
        <w:t>The raceway(s) or busway(s) shall be of sufficient size to carry the minimum additional system load to the future location of the charging for medium- and heavy-duty ZEVs as shown in </w:t>
      </w:r>
      <w:r w:rsidRPr="00E323CA">
        <w:t>Table 5.106.5.5.1</w:t>
      </w:r>
      <w:r w:rsidRPr="005A74CA">
        <w:t>.</w:t>
      </w:r>
    </w:p>
    <w:p w14:paraId="61123444" w14:textId="77777777" w:rsidR="00A52718" w:rsidRDefault="00A52718" w:rsidP="005A74CA">
      <w:pPr>
        <w:rPr>
          <w:b/>
          <w:bCs/>
        </w:rPr>
      </w:pPr>
    </w:p>
    <w:p w14:paraId="5CFD86CD" w14:textId="322C1AF0" w:rsidR="005A74CA" w:rsidRPr="005A74CA" w:rsidRDefault="005A74CA" w:rsidP="00507D99">
      <w:pPr>
        <w:ind w:left="360"/>
        <w:rPr>
          <w:b/>
          <w:bCs/>
        </w:rPr>
      </w:pPr>
      <w:r w:rsidRPr="005A74CA">
        <w:rPr>
          <w:b/>
          <w:bCs/>
        </w:rPr>
        <w:t>TABLE 5.106.5.5.1</w:t>
      </w:r>
    </w:p>
    <w:p w14:paraId="052952D3" w14:textId="77777777" w:rsidR="005A74CA" w:rsidRPr="005A74CA" w:rsidRDefault="005A74CA" w:rsidP="00507D99">
      <w:pPr>
        <w:ind w:left="360"/>
        <w:rPr>
          <w:b/>
          <w:bCs/>
        </w:rPr>
      </w:pPr>
      <w:r w:rsidRPr="005A74CA">
        <w:rPr>
          <w:b/>
          <w:bCs/>
        </w:rPr>
        <w:t>RACEWAY CONDUIT AND PANEL POWER REQUIREMENTS FOR MEDIUM- AND HEAVY-DUTY EVSE [N]</w:t>
      </w:r>
    </w:p>
    <w:tbl>
      <w:tblPr>
        <w:tblW w:w="83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86"/>
        <w:gridCol w:w="1584"/>
        <w:gridCol w:w="2304"/>
        <w:gridCol w:w="3024"/>
      </w:tblGrid>
      <w:tr w:rsidR="008745AA" w:rsidRPr="005A74CA" w14:paraId="50D1CCF5" w14:textId="77777777" w:rsidTr="008745AA">
        <w:tc>
          <w:tcPr>
            <w:tcW w:w="1486" w:type="dxa"/>
            <w:tcBorders>
              <w:top w:val="single" w:sz="6" w:space="0" w:color="CCCCCC"/>
              <w:left w:val="single" w:sz="6" w:space="0" w:color="CCCCCC"/>
              <w:bottom w:val="single" w:sz="6" w:space="0" w:color="CCCCCC"/>
              <w:right w:val="single" w:sz="6" w:space="0" w:color="CCCCCC"/>
            </w:tcBorders>
            <w:vAlign w:val="center"/>
            <w:hideMark/>
          </w:tcPr>
          <w:p w14:paraId="1D5B0ECB" w14:textId="77777777" w:rsidR="005A74CA" w:rsidRPr="005A74CA" w:rsidRDefault="005A74CA" w:rsidP="005A74CA">
            <w:r w:rsidRPr="005A74CA">
              <w:rPr>
                <w:b/>
                <w:bCs/>
              </w:rPr>
              <w:t>BUILDING TYPE</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495346AE" w14:textId="1DF68B0F" w:rsidR="005A74CA" w:rsidRPr="005A74CA" w:rsidRDefault="005A74CA" w:rsidP="00CF5E95">
            <w:pPr>
              <w:jc w:val="center"/>
            </w:pPr>
            <w:r w:rsidRPr="005A74CA">
              <w:rPr>
                <w:b/>
                <w:bCs/>
              </w:rPr>
              <w:t>BUILDING SIZE</w:t>
            </w:r>
            <w:r w:rsidR="00813E27">
              <w:rPr>
                <w:b/>
                <w:bCs/>
              </w:rPr>
              <w:t xml:space="preserve"> </w:t>
            </w:r>
            <w:r w:rsidRPr="005A74CA">
              <w:rPr>
                <w:b/>
                <w:bCs/>
              </w:rPr>
              <w:t>(SQ. FT.)</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CB5F40" w14:textId="647A0811" w:rsidR="005A74CA" w:rsidRPr="005A74CA" w:rsidRDefault="005A74CA" w:rsidP="00CF5E95">
            <w:pPr>
              <w:jc w:val="center"/>
            </w:pPr>
            <w:r w:rsidRPr="005A74CA">
              <w:rPr>
                <w:b/>
                <w:bCs/>
              </w:rPr>
              <w:t>NUMBER OF OFF-STREET LOADING</w:t>
            </w:r>
            <w:r w:rsidR="00813E27">
              <w:rPr>
                <w:b/>
                <w:bCs/>
              </w:rPr>
              <w:t xml:space="preserve"> </w:t>
            </w:r>
            <w:r w:rsidRPr="005A74CA">
              <w:rPr>
                <w:b/>
                <w:bCs/>
              </w:rPr>
              <w:t>SPACES</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711CC28" w14:textId="06F3BC4D" w:rsidR="005A74CA" w:rsidRPr="005A74CA" w:rsidRDefault="005A74CA" w:rsidP="00CF5E95">
            <w:pPr>
              <w:jc w:val="center"/>
            </w:pPr>
            <w:r w:rsidRPr="005A74CA">
              <w:rPr>
                <w:b/>
                <w:bCs/>
              </w:rPr>
              <w:t>ADDITIONAL CAPACITY REQUIRED (KVA) FOR</w:t>
            </w:r>
            <w:r w:rsidR="00813E27">
              <w:rPr>
                <w:b/>
                <w:bCs/>
              </w:rPr>
              <w:t xml:space="preserve"> </w:t>
            </w:r>
            <w:r w:rsidRPr="005A74CA">
              <w:rPr>
                <w:b/>
                <w:bCs/>
              </w:rPr>
              <w:t>RACEWAY &amp; BUSWAY AND TRANSFORMER &amp;</w:t>
            </w:r>
            <w:r w:rsidR="006C50E7">
              <w:rPr>
                <w:b/>
                <w:bCs/>
              </w:rPr>
              <w:t xml:space="preserve"> </w:t>
            </w:r>
            <w:r w:rsidRPr="005A74CA">
              <w:rPr>
                <w:b/>
                <w:bCs/>
              </w:rPr>
              <w:t>PANEL</w:t>
            </w:r>
          </w:p>
        </w:tc>
      </w:tr>
      <w:tr w:rsidR="00914EC2" w:rsidRPr="005A74CA" w14:paraId="54A57C2A" w14:textId="77777777" w:rsidTr="008745AA">
        <w:trPr>
          <w:trHeight w:val="288"/>
        </w:trPr>
        <w:tc>
          <w:tcPr>
            <w:tcW w:w="1486" w:type="dxa"/>
            <w:vMerge w:val="restart"/>
            <w:tcBorders>
              <w:top w:val="single" w:sz="6" w:space="0" w:color="CCCCCC"/>
              <w:left w:val="single" w:sz="6" w:space="0" w:color="CCCCCC"/>
              <w:bottom w:val="single" w:sz="6" w:space="0" w:color="CCCCCC"/>
              <w:right w:val="single" w:sz="6" w:space="0" w:color="CCCCCC"/>
            </w:tcBorders>
            <w:tcMar>
              <w:top w:w="43" w:type="dxa"/>
              <w:left w:w="43" w:type="dxa"/>
              <w:bottom w:w="43" w:type="dxa"/>
              <w:right w:w="43" w:type="dxa"/>
            </w:tcMar>
            <w:vAlign w:val="center"/>
            <w:hideMark/>
          </w:tcPr>
          <w:p w14:paraId="1BB0B636" w14:textId="77777777" w:rsidR="005A74CA" w:rsidRPr="005A74CA" w:rsidRDefault="005A74CA" w:rsidP="005A74CA">
            <w:r w:rsidRPr="005A74CA">
              <w:t>Grocery</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654AFBF9" w14:textId="77777777" w:rsidR="005A74CA" w:rsidRPr="005A74CA" w:rsidRDefault="005A74CA" w:rsidP="00CF5E95">
            <w:pPr>
              <w:jc w:val="center"/>
            </w:pPr>
            <w:r w:rsidRPr="005A74CA">
              <w:t>10,000 to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B16ECE" w14:textId="77777777" w:rsidR="005A74CA" w:rsidRPr="005A74CA" w:rsidRDefault="005A74CA" w:rsidP="00FA0610">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F4852B" w14:textId="77777777" w:rsidR="005A74CA" w:rsidRPr="005A74CA" w:rsidRDefault="005A74CA" w:rsidP="00CF5E95">
            <w:pPr>
              <w:jc w:val="center"/>
            </w:pPr>
            <w:r w:rsidRPr="005A74CA">
              <w:t>200</w:t>
            </w:r>
          </w:p>
        </w:tc>
      </w:tr>
      <w:tr w:rsidR="00914EC2" w:rsidRPr="005A74CA" w14:paraId="202D853A"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B99444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71DD3CA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4F6C72A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77ACD1" w14:textId="77777777" w:rsidR="005A74CA" w:rsidRPr="005A74CA" w:rsidRDefault="005A74CA" w:rsidP="00CF5E95">
            <w:pPr>
              <w:jc w:val="center"/>
            </w:pPr>
            <w:r w:rsidRPr="005A74CA">
              <w:t>400</w:t>
            </w:r>
          </w:p>
        </w:tc>
      </w:tr>
      <w:tr w:rsidR="00914EC2" w:rsidRPr="005A74CA" w14:paraId="19E5B997"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D5CB77F"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8F84A2B" w14:textId="77777777" w:rsidR="005A74CA" w:rsidRPr="005A74CA" w:rsidRDefault="005A74CA" w:rsidP="00CF5E95">
            <w:pPr>
              <w:jc w:val="center"/>
            </w:pPr>
            <w:r w:rsidRPr="005A74CA">
              <w:t>Greater than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284234F4"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F64C9C" w14:textId="77777777" w:rsidR="005A74CA" w:rsidRPr="005A74CA" w:rsidRDefault="005A74CA" w:rsidP="00CF5E95">
            <w:pPr>
              <w:jc w:val="center"/>
            </w:pPr>
            <w:r w:rsidRPr="005A74CA">
              <w:t>400</w:t>
            </w:r>
          </w:p>
        </w:tc>
      </w:tr>
      <w:tr w:rsidR="00914EC2" w:rsidRPr="005A74CA" w14:paraId="0684DE66"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D0DA32F" w14:textId="77777777" w:rsidR="005A74CA" w:rsidRPr="005A74CA" w:rsidRDefault="005A74CA" w:rsidP="005A74CA">
            <w:r w:rsidRPr="005A74CA">
              <w:t>Manufacturing Facilities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2F3A06EF"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028D5E4"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A26838" w14:textId="77777777" w:rsidR="005A74CA" w:rsidRPr="005A74CA" w:rsidRDefault="005A74CA" w:rsidP="00CF5E95">
            <w:pPr>
              <w:jc w:val="center"/>
            </w:pPr>
            <w:r w:rsidRPr="005A74CA">
              <w:t>200</w:t>
            </w:r>
          </w:p>
        </w:tc>
      </w:tr>
      <w:tr w:rsidR="00914EC2" w:rsidRPr="005A74CA" w14:paraId="0DE54B1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254AF6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5DA76D5"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590DB6D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E2C8B34" w14:textId="77777777" w:rsidR="005A74CA" w:rsidRPr="005A74CA" w:rsidRDefault="005A74CA" w:rsidP="00CF5E95">
            <w:pPr>
              <w:jc w:val="center"/>
            </w:pPr>
            <w:r w:rsidRPr="005A74CA">
              <w:t>400</w:t>
            </w:r>
          </w:p>
        </w:tc>
      </w:tr>
      <w:tr w:rsidR="00914EC2" w:rsidRPr="005A74CA" w14:paraId="3E8C930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07DAAB6"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00AD24B" w14:textId="77777777" w:rsidR="005A74CA" w:rsidRPr="005A74CA" w:rsidRDefault="005A74CA" w:rsidP="00CF5E95">
            <w:pPr>
              <w:jc w:val="center"/>
            </w:pPr>
            <w:r w:rsidRPr="005A74CA">
              <w:t>Greater than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3280B5"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E806417" w14:textId="77777777" w:rsidR="005A74CA" w:rsidRPr="005A74CA" w:rsidRDefault="005A74CA" w:rsidP="00CF5E95">
            <w:pPr>
              <w:jc w:val="center"/>
            </w:pPr>
            <w:r w:rsidRPr="005A74CA">
              <w:t>400</w:t>
            </w:r>
          </w:p>
        </w:tc>
      </w:tr>
      <w:tr w:rsidR="00914EC2" w:rsidRPr="005A74CA" w14:paraId="58DEFBC2"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1F08699" w14:textId="77777777" w:rsidR="005A74CA" w:rsidRPr="005A74CA" w:rsidRDefault="005A74CA" w:rsidP="005A74CA">
            <w:r w:rsidRPr="005A74CA">
              <w:t>Office Buildings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368715F"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D248E5"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6432494" w14:textId="77777777" w:rsidR="005A74CA" w:rsidRPr="005A74CA" w:rsidRDefault="005A74CA" w:rsidP="00CF5E95">
            <w:pPr>
              <w:jc w:val="center"/>
            </w:pPr>
            <w:r w:rsidRPr="005A74CA">
              <w:t>200</w:t>
            </w:r>
          </w:p>
        </w:tc>
      </w:tr>
      <w:tr w:rsidR="00914EC2" w:rsidRPr="005A74CA" w14:paraId="68C34469"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7D6D31F1"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121DD0A"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B29B773"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3A6FA96B" w14:textId="77777777" w:rsidR="005A74CA" w:rsidRPr="005A74CA" w:rsidRDefault="005A74CA" w:rsidP="00CF5E95">
            <w:pPr>
              <w:jc w:val="center"/>
            </w:pPr>
            <w:r w:rsidRPr="005A74CA">
              <w:t>400</w:t>
            </w:r>
          </w:p>
        </w:tc>
      </w:tr>
      <w:tr w:rsidR="00914EC2" w:rsidRPr="005A74CA" w14:paraId="44EF809D"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2624687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5DC90595"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3E8093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7B7100B" w14:textId="77777777" w:rsidR="005A74CA" w:rsidRPr="005A74CA" w:rsidRDefault="005A74CA" w:rsidP="00CF5E95">
            <w:pPr>
              <w:jc w:val="center"/>
            </w:pPr>
            <w:r w:rsidRPr="005A74CA">
              <w:t>400</w:t>
            </w:r>
          </w:p>
        </w:tc>
      </w:tr>
      <w:tr w:rsidR="00914EC2" w:rsidRPr="005A74CA" w14:paraId="304BD8F4"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325E260" w14:textId="77777777" w:rsidR="005A74CA" w:rsidRPr="005A74CA" w:rsidRDefault="005A74CA" w:rsidP="005A74CA">
            <w:r w:rsidRPr="005A74CA">
              <w:t>Retail</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4F6A4076"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A37C290"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82FE409" w14:textId="77777777" w:rsidR="005A74CA" w:rsidRPr="005A74CA" w:rsidRDefault="005A74CA" w:rsidP="00CF5E95">
            <w:pPr>
              <w:jc w:val="center"/>
            </w:pPr>
            <w:r w:rsidRPr="005A74CA">
              <w:t>200</w:t>
            </w:r>
          </w:p>
        </w:tc>
      </w:tr>
      <w:tr w:rsidR="008745AA" w:rsidRPr="005A74CA" w14:paraId="23EE1B9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8CEDE82"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633B013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9AA423E"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3BC2542" w14:textId="77777777" w:rsidR="005A74CA" w:rsidRPr="005A74CA" w:rsidRDefault="005A74CA" w:rsidP="00CF5E95">
            <w:pPr>
              <w:jc w:val="center"/>
            </w:pPr>
            <w:r w:rsidRPr="005A74CA">
              <w:t>400</w:t>
            </w:r>
          </w:p>
        </w:tc>
      </w:tr>
      <w:tr w:rsidR="00914EC2" w:rsidRPr="005A74CA" w14:paraId="415CD9B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0A41AD7"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2A64E12"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10DE993"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DC673FE" w14:textId="77777777" w:rsidR="005A74CA" w:rsidRPr="005A74CA" w:rsidRDefault="005A74CA" w:rsidP="00CF5E95">
            <w:pPr>
              <w:jc w:val="center"/>
            </w:pPr>
            <w:r w:rsidRPr="005A74CA">
              <w:t>400</w:t>
            </w:r>
          </w:p>
        </w:tc>
      </w:tr>
      <w:tr w:rsidR="00914EC2" w:rsidRPr="005A74CA" w14:paraId="5F3301BE"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18014B" w14:textId="77777777" w:rsidR="005A74CA" w:rsidRPr="005A74CA" w:rsidRDefault="005A74CA" w:rsidP="005A74CA">
            <w:r w:rsidRPr="005A74CA">
              <w:t>Warehouse</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0DF6513F" w14:textId="77777777" w:rsidR="005A74CA" w:rsidRPr="005A74CA" w:rsidRDefault="005A74CA" w:rsidP="00CF5E95">
            <w:pPr>
              <w:jc w:val="center"/>
            </w:pPr>
            <w:r w:rsidRPr="005A74CA">
              <w:t>20,000 to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D979DCD"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C8D98FC" w14:textId="77777777" w:rsidR="005A74CA" w:rsidRPr="005A74CA" w:rsidRDefault="005A74CA" w:rsidP="00CF5E95">
            <w:pPr>
              <w:jc w:val="center"/>
            </w:pPr>
            <w:r w:rsidRPr="005A74CA">
              <w:t>200</w:t>
            </w:r>
          </w:p>
        </w:tc>
      </w:tr>
      <w:tr w:rsidR="008745AA" w:rsidRPr="005A74CA" w14:paraId="7385C5A3"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42D6BC2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42FCEDBF"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C39A075"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9CDB42C" w14:textId="77777777" w:rsidR="005A74CA" w:rsidRPr="005A74CA" w:rsidRDefault="005A74CA" w:rsidP="00CF5E95">
            <w:pPr>
              <w:jc w:val="center"/>
            </w:pPr>
            <w:r w:rsidRPr="005A74CA">
              <w:t>400</w:t>
            </w:r>
          </w:p>
        </w:tc>
      </w:tr>
      <w:tr w:rsidR="008745AA" w:rsidRPr="005A74CA" w14:paraId="604D53CB"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DFBED42"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4C9DE4E" w14:textId="77777777" w:rsidR="005A74CA" w:rsidRPr="005A74CA" w:rsidRDefault="005A74CA" w:rsidP="00CF5E95">
            <w:pPr>
              <w:jc w:val="center"/>
            </w:pPr>
            <w:r w:rsidRPr="005A74CA">
              <w:t>Greater than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F6254B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A59C0FB" w14:textId="77777777" w:rsidR="005A74CA" w:rsidRPr="005A74CA" w:rsidRDefault="005A74CA" w:rsidP="00CF5E95">
            <w:pPr>
              <w:jc w:val="center"/>
            </w:pPr>
            <w:r w:rsidRPr="005A74CA">
              <w:t>400</w:t>
            </w:r>
          </w:p>
        </w:tc>
      </w:tr>
    </w:tbl>
    <w:p w14:paraId="2BCF1CB9" w14:textId="77777777" w:rsidR="00A52718" w:rsidRDefault="00A52718" w:rsidP="005A74CA">
      <w:pPr>
        <w:rPr>
          <w:b/>
          <w:bCs/>
        </w:rPr>
      </w:pPr>
    </w:p>
    <w:p w14:paraId="77C9FEB9" w14:textId="44D38182" w:rsidR="005F095E" w:rsidRDefault="0F2639A7" w:rsidP="005A74CA">
      <w:pPr>
        <w:rPr>
          <w:b/>
          <w:bCs/>
        </w:rPr>
      </w:pPr>
      <w:r w:rsidRPr="0F2639A7">
        <w:rPr>
          <w:b/>
          <w:bCs/>
        </w:rPr>
        <w:t xml:space="preserve"> </w:t>
      </w:r>
    </w:p>
    <w:p w14:paraId="50837AB1" w14:textId="77777777" w:rsidR="005F095E" w:rsidRDefault="005F095E" w:rsidP="005A74CA">
      <w:pPr>
        <w:rPr>
          <w:b/>
          <w:bCs/>
        </w:rPr>
      </w:pPr>
    </w:p>
    <w:p w14:paraId="25200DA3" w14:textId="77777777" w:rsidR="005A74CA" w:rsidRPr="005A74CA" w:rsidRDefault="005A74CA" w:rsidP="005A74CA"/>
    <w:sectPr w:rsidR="005A74CA" w:rsidRPr="005A74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ylor, Taylor" w:date="2024-03-21T17:56:00Z" w:initials="TT">
    <w:p w14:paraId="20C5B449" w14:textId="6BE887D3" w:rsidR="7DB2FAC4" w:rsidRDefault="7DB2FAC4">
      <w:pPr>
        <w:pStyle w:val="CommentText"/>
      </w:pPr>
      <w:r>
        <w:fldChar w:fldCharType="begin"/>
      </w:r>
      <w:r>
        <w:instrText xml:space="preserve"> HYPERLINK "mailto:CSilcox@trcsolutions.com"</w:instrText>
      </w:r>
      <w:bookmarkStart w:id="3" w:name="_@_084EDCB69B324E3AA42EE0CC77811FE4Z"/>
      <w:r>
        <w:fldChar w:fldCharType="separate"/>
      </w:r>
      <w:bookmarkEnd w:id="3"/>
      <w:r w:rsidRPr="7DB2FAC4">
        <w:rPr>
          <w:rStyle w:val="Mention"/>
          <w:noProof/>
        </w:rPr>
        <w:t>@Silcox, Calder</w:t>
      </w:r>
      <w:r>
        <w:fldChar w:fldCharType="end"/>
      </w:r>
      <w:r>
        <w:t xml:space="preserve"> Does this note need to be duplicated for 301.1.1 since we extended the Nonres additions and alterations to Res?</w:t>
      </w:r>
      <w:r>
        <w:rPr>
          <w:rStyle w:val="CommentReference"/>
        </w:rPr>
        <w:annotationRef/>
      </w:r>
    </w:p>
  </w:comment>
  <w:comment w:id="1" w:author="Farahmand, Farhad" w:date="2024-03-22T10:32:00Z" w:initials="FF">
    <w:p w14:paraId="16329E33" w14:textId="4E918105" w:rsidR="7D5CEF83" w:rsidRDefault="7D5CEF83">
      <w:pPr>
        <w:pStyle w:val="CommentText"/>
      </w:pPr>
      <w:r>
        <w:t>I think it's originally under that section. For completeness, we should add it for a complete version of 301.1.1.</w:t>
      </w:r>
      <w:r>
        <w:rPr>
          <w:rStyle w:val="CommentReference"/>
        </w:rPr>
        <w:annotationRef/>
      </w:r>
    </w:p>
  </w:comment>
  <w:comment w:id="2" w:author="Silcox, Calder" w:date="2024-03-25T10:25:00Z" w:initials="CS">
    <w:p w14:paraId="6C92CF91" w14:textId="77777777" w:rsidR="00852844" w:rsidRDefault="00852844" w:rsidP="00852844">
      <w:pPr>
        <w:pStyle w:val="CommentText"/>
      </w:pPr>
      <w:r>
        <w:rPr>
          <w:rStyle w:val="CommentReference"/>
        </w:rPr>
        <w:annotationRef/>
      </w:r>
      <w:r>
        <w:t>Added above and I also updated the version on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5B449" w15:done="1"/>
  <w15:commentEx w15:paraId="16329E33" w15:paraIdParent="20C5B449" w15:done="1"/>
  <w15:commentEx w15:paraId="6C92CF91" w15:paraIdParent="20C5B4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112F95" w16cex:dateUtc="2024-03-22T00:56:00Z"/>
  <w16cex:commentExtensible w16cex:durableId="5AD54B12" w16cex:dateUtc="2024-03-22T17:32:00Z"/>
  <w16cex:commentExtensible w16cex:durableId="70CE6883" w16cex:dateUtc="2024-03-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5B449" w16cid:durableId="0A112F95"/>
  <w16cid:commentId w16cid:paraId="16329E33" w16cid:durableId="5AD54B12"/>
  <w16cid:commentId w16cid:paraId="6C92CF91" w16cid:durableId="70CE6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AB61" w14:textId="77777777" w:rsidR="003545CD" w:rsidRDefault="003545CD" w:rsidP="00990DA4">
      <w:pPr>
        <w:spacing w:after="0" w:line="240" w:lineRule="auto"/>
      </w:pPr>
      <w:r>
        <w:separator/>
      </w:r>
    </w:p>
  </w:endnote>
  <w:endnote w:type="continuationSeparator" w:id="0">
    <w:p w14:paraId="6ED159FF" w14:textId="77777777" w:rsidR="003545CD" w:rsidRDefault="003545CD" w:rsidP="00990DA4">
      <w:pPr>
        <w:spacing w:after="0" w:line="240" w:lineRule="auto"/>
      </w:pPr>
      <w:r>
        <w:continuationSeparator/>
      </w:r>
    </w:p>
  </w:endnote>
  <w:endnote w:type="continuationNotice" w:id="1">
    <w:p w14:paraId="0EDCA90F" w14:textId="77777777" w:rsidR="003545CD" w:rsidRDefault="00354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12546"/>
      <w:docPartObj>
        <w:docPartGallery w:val="Page Numbers (Bottom of Page)"/>
        <w:docPartUnique/>
      </w:docPartObj>
    </w:sdtPr>
    <w:sdtEndPr>
      <w:rPr>
        <w:noProof/>
      </w:rPr>
    </w:sdtEndPr>
    <w:sdtContent>
      <w:p w14:paraId="1A26B3EB" w14:textId="35C4CB30" w:rsidR="00D73E02" w:rsidRDefault="00D73E02">
        <w:pPr>
          <w:pStyle w:val="Footer"/>
          <w:jc w:val="right"/>
        </w:pPr>
        <w:r w:rsidRPr="00F6459A">
          <w:rPr>
            <w:sz w:val="16"/>
            <w:szCs w:val="16"/>
          </w:rPr>
          <w:fldChar w:fldCharType="begin"/>
        </w:r>
        <w:r w:rsidRPr="00F6459A">
          <w:rPr>
            <w:sz w:val="16"/>
            <w:szCs w:val="16"/>
          </w:rPr>
          <w:instrText xml:space="preserve"> PAGE   \* MERGEFORMAT </w:instrText>
        </w:r>
        <w:r w:rsidRPr="00F6459A">
          <w:rPr>
            <w:sz w:val="16"/>
            <w:szCs w:val="16"/>
          </w:rPr>
          <w:fldChar w:fldCharType="separate"/>
        </w:r>
        <w:r w:rsidRPr="00F6459A">
          <w:rPr>
            <w:noProof/>
            <w:sz w:val="16"/>
            <w:szCs w:val="16"/>
          </w:rPr>
          <w:t>2</w:t>
        </w:r>
        <w:r w:rsidRPr="00F6459A">
          <w:rPr>
            <w:noProof/>
            <w:sz w:val="16"/>
            <w:szCs w:val="16"/>
          </w:rPr>
          <w:fldChar w:fldCharType="end"/>
        </w:r>
      </w:p>
    </w:sdtContent>
  </w:sdt>
  <w:p w14:paraId="336BF40A" w14:textId="77777777" w:rsidR="00D73E02" w:rsidRDefault="00D7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AAA4" w14:textId="77777777" w:rsidR="003545CD" w:rsidRDefault="003545CD" w:rsidP="00990DA4">
      <w:pPr>
        <w:spacing w:after="0" w:line="240" w:lineRule="auto"/>
      </w:pPr>
      <w:r>
        <w:separator/>
      </w:r>
    </w:p>
  </w:footnote>
  <w:footnote w:type="continuationSeparator" w:id="0">
    <w:p w14:paraId="71211D22" w14:textId="77777777" w:rsidR="003545CD" w:rsidRDefault="003545CD" w:rsidP="00990DA4">
      <w:pPr>
        <w:spacing w:after="0" w:line="240" w:lineRule="auto"/>
      </w:pPr>
      <w:r>
        <w:continuationSeparator/>
      </w:r>
    </w:p>
  </w:footnote>
  <w:footnote w:type="continuationNotice" w:id="1">
    <w:p w14:paraId="05EA7627" w14:textId="77777777" w:rsidR="003545CD" w:rsidRDefault="00354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0937" w14:textId="5AC6BF76" w:rsidR="00465DD6" w:rsidRPr="00D73E02" w:rsidRDefault="00D73E02">
    <w:pPr>
      <w:pStyle w:val="Header"/>
      <w:rPr>
        <w:b/>
        <w:bCs/>
      </w:rPr>
    </w:pPr>
    <w:r w:rsidRPr="00D73E02">
      <w:rPr>
        <w:b/>
        <w:bCs/>
      </w:rPr>
      <w:t>California Electric Vehicle Model Reach Code – 2024</w:t>
    </w:r>
  </w:p>
  <w:p w14:paraId="0AEBC146" w14:textId="249D5E29" w:rsidR="00D73E02" w:rsidRPr="00D73E02" w:rsidRDefault="0F2639A7" w:rsidP="0F2639A7">
    <w:pPr>
      <w:pStyle w:val="Header"/>
      <w:rPr>
        <w:i/>
        <w:iCs/>
      </w:rPr>
    </w:pPr>
    <w:r w:rsidRPr="0F2639A7">
      <w:rPr>
        <w:i/>
        <w:iCs/>
      </w:rPr>
      <w:t>Draft 3/08/2024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B24"/>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32925"/>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32AC"/>
    <w:multiLevelType w:val="hybridMultilevel"/>
    <w:tmpl w:val="855C842A"/>
    <w:lvl w:ilvl="0" w:tplc="AE884066">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CC5448"/>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67E6F"/>
    <w:multiLevelType w:val="multilevel"/>
    <w:tmpl w:val="985EF5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3EA254D"/>
    <w:multiLevelType w:val="multilevel"/>
    <w:tmpl w:val="F9F25F00"/>
    <w:lvl w:ilvl="0">
      <w:start w:val="1"/>
      <w:numFmt w:val="decimal"/>
      <w:lvlText w:val="%1."/>
      <w:lvlJc w:val="left"/>
      <w:pPr>
        <w:tabs>
          <w:tab w:val="num" w:pos="720"/>
        </w:tabs>
        <w:ind w:left="720" w:hanging="360"/>
      </w:pPr>
      <w:rPr>
        <w:rFonts w:hint="default"/>
      </w:rPr>
    </w:lvl>
    <w:lvl w:ilvl="1">
      <w:start w:val="5"/>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9079DB"/>
    <w:multiLevelType w:val="hybridMultilevel"/>
    <w:tmpl w:val="7B38965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035EF"/>
    <w:multiLevelType w:val="multilevel"/>
    <w:tmpl w:val="D0665A5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50FF0"/>
    <w:multiLevelType w:val="hybridMultilevel"/>
    <w:tmpl w:val="2FCE4F48"/>
    <w:lvl w:ilvl="0" w:tplc="E6D07346">
      <w:start w:val="1"/>
      <w:numFmt w:val="decimal"/>
      <w:lvlText w:val="%1)"/>
      <w:lvlJc w:val="left"/>
      <w:pPr>
        <w:ind w:left="1100" w:hanging="360"/>
      </w:pPr>
    </w:lvl>
    <w:lvl w:ilvl="1" w:tplc="DEF4D53E">
      <w:start w:val="1"/>
      <w:numFmt w:val="decimal"/>
      <w:lvlText w:val="%2)"/>
      <w:lvlJc w:val="left"/>
      <w:pPr>
        <w:ind w:left="1100" w:hanging="360"/>
      </w:pPr>
    </w:lvl>
    <w:lvl w:ilvl="2" w:tplc="46C0BA6A">
      <w:start w:val="1"/>
      <w:numFmt w:val="decimal"/>
      <w:lvlText w:val="%3)"/>
      <w:lvlJc w:val="left"/>
      <w:pPr>
        <w:ind w:left="1100" w:hanging="360"/>
      </w:pPr>
    </w:lvl>
    <w:lvl w:ilvl="3" w:tplc="F8A2097A">
      <w:start w:val="1"/>
      <w:numFmt w:val="decimal"/>
      <w:lvlText w:val="%4)"/>
      <w:lvlJc w:val="left"/>
      <w:pPr>
        <w:ind w:left="1100" w:hanging="360"/>
      </w:pPr>
    </w:lvl>
    <w:lvl w:ilvl="4" w:tplc="FB2417FC">
      <w:start w:val="1"/>
      <w:numFmt w:val="decimal"/>
      <w:lvlText w:val="%5)"/>
      <w:lvlJc w:val="left"/>
      <w:pPr>
        <w:ind w:left="1100" w:hanging="360"/>
      </w:pPr>
    </w:lvl>
    <w:lvl w:ilvl="5" w:tplc="A6441204">
      <w:start w:val="1"/>
      <w:numFmt w:val="decimal"/>
      <w:lvlText w:val="%6)"/>
      <w:lvlJc w:val="left"/>
      <w:pPr>
        <w:ind w:left="1100" w:hanging="360"/>
      </w:pPr>
    </w:lvl>
    <w:lvl w:ilvl="6" w:tplc="8334E0EE">
      <w:start w:val="1"/>
      <w:numFmt w:val="decimal"/>
      <w:lvlText w:val="%7)"/>
      <w:lvlJc w:val="left"/>
      <w:pPr>
        <w:ind w:left="1100" w:hanging="360"/>
      </w:pPr>
    </w:lvl>
    <w:lvl w:ilvl="7" w:tplc="88C0AE64">
      <w:start w:val="1"/>
      <w:numFmt w:val="decimal"/>
      <w:lvlText w:val="%8)"/>
      <w:lvlJc w:val="left"/>
      <w:pPr>
        <w:ind w:left="1100" w:hanging="360"/>
      </w:pPr>
    </w:lvl>
    <w:lvl w:ilvl="8" w:tplc="A12A53EA">
      <w:start w:val="1"/>
      <w:numFmt w:val="decimal"/>
      <w:lvlText w:val="%9)"/>
      <w:lvlJc w:val="left"/>
      <w:pPr>
        <w:ind w:left="1100" w:hanging="360"/>
      </w:pPr>
    </w:lvl>
  </w:abstractNum>
  <w:abstractNum w:abstractNumId="9" w15:restartNumberingAfterBreak="0">
    <w:nsid w:val="1C21539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E320D5F"/>
    <w:multiLevelType w:val="multilevel"/>
    <w:tmpl w:val="3A483B98"/>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b w:val="0"/>
        <w:bCs w:val="0"/>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4F6127"/>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D01C4C"/>
    <w:multiLevelType w:val="multilevel"/>
    <w:tmpl w:val="EEEEB9EA"/>
    <w:lvl w:ilvl="0">
      <w:start w:val="1"/>
      <w:numFmt w:val="decimal"/>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02F17"/>
    <w:multiLevelType w:val="hybridMultilevel"/>
    <w:tmpl w:val="87843622"/>
    <w:lvl w:ilvl="0" w:tplc="19CE4E5A">
      <w:start w:val="1"/>
      <w:numFmt w:val="lowerRoman"/>
      <w:lvlText w:val="%1."/>
      <w:lvlJc w:val="right"/>
      <w:pPr>
        <w:ind w:left="1440" w:hanging="360"/>
      </w:pPr>
    </w:lvl>
    <w:lvl w:ilvl="1" w:tplc="26C83264">
      <w:start w:val="1"/>
      <w:numFmt w:val="lowerRoman"/>
      <w:lvlText w:val="%2."/>
      <w:lvlJc w:val="right"/>
      <w:pPr>
        <w:ind w:left="1440" w:hanging="360"/>
      </w:pPr>
    </w:lvl>
    <w:lvl w:ilvl="2" w:tplc="98C0677C">
      <w:start w:val="1"/>
      <w:numFmt w:val="lowerRoman"/>
      <w:lvlText w:val="%3."/>
      <w:lvlJc w:val="right"/>
      <w:pPr>
        <w:ind w:left="1440" w:hanging="360"/>
      </w:pPr>
    </w:lvl>
    <w:lvl w:ilvl="3" w:tplc="5FB04EC4">
      <w:start w:val="1"/>
      <w:numFmt w:val="lowerRoman"/>
      <w:lvlText w:val="%4."/>
      <w:lvlJc w:val="right"/>
      <w:pPr>
        <w:ind w:left="1440" w:hanging="360"/>
      </w:pPr>
    </w:lvl>
    <w:lvl w:ilvl="4" w:tplc="148239B0">
      <w:start w:val="1"/>
      <w:numFmt w:val="lowerRoman"/>
      <w:lvlText w:val="%5."/>
      <w:lvlJc w:val="right"/>
      <w:pPr>
        <w:ind w:left="1440" w:hanging="360"/>
      </w:pPr>
    </w:lvl>
    <w:lvl w:ilvl="5" w:tplc="A53C5E6C">
      <w:start w:val="1"/>
      <w:numFmt w:val="lowerRoman"/>
      <w:lvlText w:val="%6."/>
      <w:lvlJc w:val="right"/>
      <w:pPr>
        <w:ind w:left="1440" w:hanging="360"/>
      </w:pPr>
    </w:lvl>
    <w:lvl w:ilvl="6" w:tplc="AE14A146">
      <w:start w:val="1"/>
      <w:numFmt w:val="lowerRoman"/>
      <w:lvlText w:val="%7."/>
      <w:lvlJc w:val="right"/>
      <w:pPr>
        <w:ind w:left="1440" w:hanging="360"/>
      </w:pPr>
    </w:lvl>
    <w:lvl w:ilvl="7" w:tplc="9BDA79A0">
      <w:start w:val="1"/>
      <w:numFmt w:val="lowerRoman"/>
      <w:lvlText w:val="%8."/>
      <w:lvlJc w:val="right"/>
      <w:pPr>
        <w:ind w:left="1440" w:hanging="360"/>
      </w:pPr>
    </w:lvl>
    <w:lvl w:ilvl="8" w:tplc="827A1454">
      <w:start w:val="1"/>
      <w:numFmt w:val="lowerRoman"/>
      <w:lvlText w:val="%9."/>
      <w:lvlJc w:val="right"/>
      <w:pPr>
        <w:ind w:left="1440" w:hanging="360"/>
      </w:pPr>
    </w:lvl>
  </w:abstractNum>
  <w:abstractNum w:abstractNumId="14" w15:restartNumberingAfterBreak="0">
    <w:nsid w:val="237509A2"/>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970292"/>
    <w:multiLevelType w:val="multilevel"/>
    <w:tmpl w:val="7EC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A2E91"/>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75967"/>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E6FA4"/>
    <w:multiLevelType w:val="multilevel"/>
    <w:tmpl w:val="4CA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33578"/>
    <w:multiLevelType w:val="multilevel"/>
    <w:tmpl w:val="4FDAEA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DFB2F91"/>
    <w:multiLevelType w:val="hybridMultilevel"/>
    <w:tmpl w:val="0040E6C6"/>
    <w:lvl w:ilvl="0" w:tplc="E9284310">
      <w:start w:val="1"/>
      <w:numFmt w:val="decimal"/>
      <w:lvlText w:val="%1."/>
      <w:lvlJc w:val="left"/>
      <w:pPr>
        <w:ind w:left="1800" w:hanging="360"/>
      </w:pPr>
    </w:lvl>
    <w:lvl w:ilvl="1" w:tplc="16AE9428">
      <w:start w:val="1"/>
      <w:numFmt w:val="decimal"/>
      <w:lvlText w:val="%2."/>
      <w:lvlJc w:val="left"/>
      <w:pPr>
        <w:ind w:left="1800" w:hanging="360"/>
      </w:pPr>
    </w:lvl>
    <w:lvl w:ilvl="2" w:tplc="5AA4D35E">
      <w:start w:val="1"/>
      <w:numFmt w:val="decimal"/>
      <w:lvlText w:val="%3."/>
      <w:lvlJc w:val="left"/>
      <w:pPr>
        <w:ind w:left="1800" w:hanging="360"/>
      </w:pPr>
    </w:lvl>
    <w:lvl w:ilvl="3" w:tplc="7BB8DF3C">
      <w:start w:val="1"/>
      <w:numFmt w:val="decimal"/>
      <w:lvlText w:val="%4."/>
      <w:lvlJc w:val="left"/>
      <w:pPr>
        <w:ind w:left="1800" w:hanging="360"/>
      </w:pPr>
    </w:lvl>
    <w:lvl w:ilvl="4" w:tplc="8B84EC4E">
      <w:start w:val="1"/>
      <w:numFmt w:val="decimal"/>
      <w:lvlText w:val="%5."/>
      <w:lvlJc w:val="left"/>
      <w:pPr>
        <w:ind w:left="1800" w:hanging="360"/>
      </w:pPr>
    </w:lvl>
    <w:lvl w:ilvl="5" w:tplc="F738B7D0">
      <w:start w:val="1"/>
      <w:numFmt w:val="decimal"/>
      <w:lvlText w:val="%6."/>
      <w:lvlJc w:val="left"/>
      <w:pPr>
        <w:ind w:left="1800" w:hanging="360"/>
      </w:pPr>
    </w:lvl>
    <w:lvl w:ilvl="6" w:tplc="3E62B158">
      <w:start w:val="1"/>
      <w:numFmt w:val="decimal"/>
      <w:lvlText w:val="%7."/>
      <w:lvlJc w:val="left"/>
      <w:pPr>
        <w:ind w:left="1800" w:hanging="360"/>
      </w:pPr>
    </w:lvl>
    <w:lvl w:ilvl="7" w:tplc="168EA054">
      <w:start w:val="1"/>
      <w:numFmt w:val="decimal"/>
      <w:lvlText w:val="%8."/>
      <w:lvlJc w:val="left"/>
      <w:pPr>
        <w:ind w:left="1800" w:hanging="360"/>
      </w:pPr>
    </w:lvl>
    <w:lvl w:ilvl="8" w:tplc="2368C31C">
      <w:start w:val="1"/>
      <w:numFmt w:val="decimal"/>
      <w:lvlText w:val="%9."/>
      <w:lvlJc w:val="left"/>
      <w:pPr>
        <w:ind w:left="1800" w:hanging="360"/>
      </w:pPr>
    </w:lvl>
  </w:abstractNum>
  <w:abstractNum w:abstractNumId="21" w15:restartNumberingAfterBreak="0">
    <w:nsid w:val="304A39AD"/>
    <w:multiLevelType w:val="multilevel"/>
    <w:tmpl w:val="4104C8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lowerLetter"/>
      <w:lvlText w:val="%3."/>
      <w:lvlJc w:val="left"/>
      <w:pPr>
        <w:ind w:left="2160" w:hanging="360"/>
      </w:pPr>
      <w:rPr>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D10287"/>
    <w:multiLevelType w:val="hybridMultilevel"/>
    <w:tmpl w:val="3A6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15D71"/>
    <w:multiLevelType w:val="multilevel"/>
    <w:tmpl w:val="162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339B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3D61AD"/>
    <w:multiLevelType w:val="multilevel"/>
    <w:tmpl w:val="E3E42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720D1"/>
    <w:multiLevelType w:val="multilevel"/>
    <w:tmpl w:val="55F0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5532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2F3079D"/>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30E77"/>
    <w:multiLevelType w:val="multilevel"/>
    <w:tmpl w:val="E548B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D467B"/>
    <w:multiLevelType w:val="multilevel"/>
    <w:tmpl w:val="510C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DB142C"/>
    <w:multiLevelType w:val="hybridMultilevel"/>
    <w:tmpl w:val="34980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2400E"/>
    <w:multiLevelType w:val="hybridMultilevel"/>
    <w:tmpl w:val="36D874D8"/>
    <w:lvl w:ilvl="0" w:tplc="7512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37C59"/>
    <w:multiLevelType w:val="multilevel"/>
    <w:tmpl w:val="A912C5B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2581450"/>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14C7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5455629"/>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E44C9"/>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C7CA7"/>
    <w:multiLevelType w:val="multilevel"/>
    <w:tmpl w:val="E6FA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F53DD9"/>
    <w:multiLevelType w:val="multilevel"/>
    <w:tmpl w:val="C844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43172"/>
    <w:multiLevelType w:val="multilevel"/>
    <w:tmpl w:val="2066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63F17"/>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98274886">
    <w:abstractNumId w:val="12"/>
  </w:num>
  <w:num w:numId="2" w16cid:durableId="1609311926">
    <w:abstractNumId w:val="14"/>
  </w:num>
  <w:num w:numId="3" w16cid:durableId="78651261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368994396">
    <w:abstractNumId w:val="29"/>
  </w:num>
  <w:num w:numId="5" w16cid:durableId="316374738">
    <w:abstractNumId w:val="7"/>
  </w:num>
  <w:num w:numId="6" w16cid:durableId="1480348030">
    <w:abstractNumId w:val="33"/>
  </w:num>
  <w:num w:numId="7" w16cid:durableId="255090951">
    <w:abstractNumId w:val="26"/>
  </w:num>
  <w:num w:numId="8" w16cid:durableId="808597564">
    <w:abstractNumId w:val="15"/>
  </w:num>
  <w:num w:numId="9" w16cid:durableId="241451342">
    <w:abstractNumId w:val="18"/>
  </w:num>
  <w:num w:numId="10" w16cid:durableId="1432050582">
    <w:abstractNumId w:val="36"/>
  </w:num>
  <w:num w:numId="11" w16cid:durableId="710765524">
    <w:abstractNumId w:val="38"/>
  </w:num>
  <w:num w:numId="12" w16cid:durableId="952663469">
    <w:abstractNumId w:val="4"/>
  </w:num>
  <w:num w:numId="13" w16cid:durableId="1930776548">
    <w:abstractNumId w:val="1"/>
  </w:num>
  <w:num w:numId="14" w16cid:durableId="1420981396">
    <w:abstractNumId w:val="16"/>
  </w:num>
  <w:num w:numId="15" w16cid:durableId="231425613">
    <w:abstractNumId w:val="25"/>
  </w:num>
  <w:num w:numId="16" w16cid:durableId="1466658510">
    <w:abstractNumId w:val="40"/>
  </w:num>
  <w:num w:numId="17" w16cid:durableId="143086225">
    <w:abstractNumId w:val="37"/>
  </w:num>
  <w:num w:numId="18" w16cid:durableId="1409421410">
    <w:abstractNumId w:val="39"/>
  </w:num>
  <w:num w:numId="19" w16cid:durableId="1740208571">
    <w:abstractNumId w:val="30"/>
  </w:num>
  <w:num w:numId="20" w16cid:durableId="215170271">
    <w:abstractNumId w:val="0"/>
  </w:num>
  <w:num w:numId="21" w16cid:durableId="10569622">
    <w:abstractNumId w:val="17"/>
  </w:num>
  <w:num w:numId="22" w16cid:durableId="1573002290">
    <w:abstractNumId w:val="27"/>
  </w:num>
  <w:num w:numId="23" w16cid:durableId="495734131">
    <w:abstractNumId w:val="41"/>
  </w:num>
  <w:num w:numId="24" w16cid:durableId="519396836">
    <w:abstractNumId w:val="21"/>
  </w:num>
  <w:num w:numId="25" w16cid:durableId="2043245683">
    <w:abstractNumId w:val="10"/>
  </w:num>
  <w:num w:numId="26" w16cid:durableId="2092043584">
    <w:abstractNumId w:val="5"/>
  </w:num>
  <w:num w:numId="27" w16cid:durableId="2045521039">
    <w:abstractNumId w:val="19"/>
  </w:num>
  <w:num w:numId="28" w16cid:durableId="1835292646">
    <w:abstractNumId w:val="35"/>
  </w:num>
  <w:num w:numId="29" w16cid:durableId="1105229498">
    <w:abstractNumId w:val="23"/>
  </w:num>
  <w:num w:numId="30" w16cid:durableId="1343434779">
    <w:abstractNumId w:val="20"/>
  </w:num>
  <w:num w:numId="31" w16cid:durableId="1213230177">
    <w:abstractNumId w:val="9"/>
  </w:num>
  <w:num w:numId="32" w16cid:durableId="5438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5610786">
    <w:abstractNumId w:val="2"/>
  </w:num>
  <w:num w:numId="34" w16cid:durableId="1270744809">
    <w:abstractNumId w:val="24"/>
  </w:num>
  <w:num w:numId="35" w16cid:durableId="494077676">
    <w:abstractNumId w:val="32"/>
  </w:num>
  <w:num w:numId="36" w16cid:durableId="376273028">
    <w:abstractNumId w:val="6"/>
  </w:num>
  <w:num w:numId="37" w16cid:durableId="824932351">
    <w:abstractNumId w:val="13"/>
  </w:num>
  <w:num w:numId="38" w16cid:durableId="1896350603">
    <w:abstractNumId w:val="11"/>
  </w:num>
  <w:num w:numId="39" w16cid:durableId="1008098339">
    <w:abstractNumId w:val="28"/>
  </w:num>
  <w:num w:numId="40" w16cid:durableId="1332415568">
    <w:abstractNumId w:val="8"/>
  </w:num>
  <w:num w:numId="41" w16cid:durableId="163083738">
    <w:abstractNumId w:val="3"/>
  </w:num>
  <w:num w:numId="42" w16cid:durableId="1654866350">
    <w:abstractNumId w:val="34"/>
  </w:num>
  <w:num w:numId="43" w16cid:durableId="1487699675">
    <w:abstractNumId w:val="31"/>
  </w:num>
  <w:num w:numId="44" w16cid:durableId="14942931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Taylor">
    <w15:presenceInfo w15:providerId="AD" w15:userId="S::ttaylor@trcsolutions.com::8f0d4658-8911-45fe-8cba-61f8f650b9d6"/>
  </w15:person>
  <w15:person w15:author="Farahmand, Farhad">
    <w15:presenceInfo w15:providerId="AD" w15:userId="S::ffarahmand@trcsolutions.com::1346c63b-154b-4d8b-8990-456be2dc59cb"/>
  </w15:person>
  <w15:person w15:author="Silcox, Calder">
    <w15:presenceInfo w15:providerId="AD" w15:userId="S::CSilcox@trcsolutions.com::a20928e2-97dd-4c8d-a652-8f1d1d8fe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CE"/>
    <w:rsid w:val="00000E70"/>
    <w:rsid w:val="000019E2"/>
    <w:rsid w:val="00004607"/>
    <w:rsid w:val="0000491B"/>
    <w:rsid w:val="000060D3"/>
    <w:rsid w:val="00010B06"/>
    <w:rsid w:val="000151EA"/>
    <w:rsid w:val="00021243"/>
    <w:rsid w:val="0002609E"/>
    <w:rsid w:val="00026232"/>
    <w:rsid w:val="0002667C"/>
    <w:rsid w:val="00036D80"/>
    <w:rsid w:val="000413BF"/>
    <w:rsid w:val="00044277"/>
    <w:rsid w:val="000456EF"/>
    <w:rsid w:val="000500D7"/>
    <w:rsid w:val="0005013D"/>
    <w:rsid w:val="00050A47"/>
    <w:rsid w:val="00051A71"/>
    <w:rsid w:val="000550F2"/>
    <w:rsid w:val="000567E4"/>
    <w:rsid w:val="00056CB4"/>
    <w:rsid w:val="000617D6"/>
    <w:rsid w:val="0006189B"/>
    <w:rsid w:val="00061B86"/>
    <w:rsid w:val="00065536"/>
    <w:rsid w:val="0006755C"/>
    <w:rsid w:val="00081ED7"/>
    <w:rsid w:val="000824F4"/>
    <w:rsid w:val="00083906"/>
    <w:rsid w:val="00084190"/>
    <w:rsid w:val="00092566"/>
    <w:rsid w:val="000934FF"/>
    <w:rsid w:val="00097865"/>
    <w:rsid w:val="000A09C1"/>
    <w:rsid w:val="000A1F1A"/>
    <w:rsid w:val="000A510A"/>
    <w:rsid w:val="000A626B"/>
    <w:rsid w:val="000A64F4"/>
    <w:rsid w:val="000B2FE3"/>
    <w:rsid w:val="000B6284"/>
    <w:rsid w:val="000B7D9E"/>
    <w:rsid w:val="000C33D9"/>
    <w:rsid w:val="000C40E7"/>
    <w:rsid w:val="000C4871"/>
    <w:rsid w:val="000D211D"/>
    <w:rsid w:val="000D2C57"/>
    <w:rsid w:val="000D3938"/>
    <w:rsid w:val="000D3E3B"/>
    <w:rsid w:val="000E030B"/>
    <w:rsid w:val="000E1B43"/>
    <w:rsid w:val="000E3443"/>
    <w:rsid w:val="000E565C"/>
    <w:rsid w:val="000F08C2"/>
    <w:rsid w:val="0010123D"/>
    <w:rsid w:val="00102381"/>
    <w:rsid w:val="00104550"/>
    <w:rsid w:val="001057B8"/>
    <w:rsid w:val="001079A9"/>
    <w:rsid w:val="001110AE"/>
    <w:rsid w:val="00112FB0"/>
    <w:rsid w:val="001303AD"/>
    <w:rsid w:val="00130B08"/>
    <w:rsid w:val="00132350"/>
    <w:rsid w:val="001329C0"/>
    <w:rsid w:val="001335DA"/>
    <w:rsid w:val="00136243"/>
    <w:rsid w:val="00142B74"/>
    <w:rsid w:val="00151A02"/>
    <w:rsid w:val="001535DC"/>
    <w:rsid w:val="0015775B"/>
    <w:rsid w:val="00163B52"/>
    <w:rsid w:val="001673FF"/>
    <w:rsid w:val="00174B6C"/>
    <w:rsid w:val="00186BC2"/>
    <w:rsid w:val="001962DB"/>
    <w:rsid w:val="001965B7"/>
    <w:rsid w:val="00196688"/>
    <w:rsid w:val="001A11B8"/>
    <w:rsid w:val="001A597F"/>
    <w:rsid w:val="001A6DE1"/>
    <w:rsid w:val="001B426D"/>
    <w:rsid w:val="001B6980"/>
    <w:rsid w:val="001C63EA"/>
    <w:rsid w:val="001C7AFA"/>
    <w:rsid w:val="001D1BF9"/>
    <w:rsid w:val="001D46E7"/>
    <w:rsid w:val="001E1736"/>
    <w:rsid w:val="001E2935"/>
    <w:rsid w:val="001E5718"/>
    <w:rsid w:val="001F2979"/>
    <w:rsid w:val="001F5F1F"/>
    <w:rsid w:val="00203DD0"/>
    <w:rsid w:val="00204DB9"/>
    <w:rsid w:val="00213415"/>
    <w:rsid w:val="002147B6"/>
    <w:rsid w:val="00217F6B"/>
    <w:rsid w:val="00223315"/>
    <w:rsid w:val="00223A20"/>
    <w:rsid w:val="00235ED4"/>
    <w:rsid w:val="00240F50"/>
    <w:rsid w:val="002532BE"/>
    <w:rsid w:val="00254965"/>
    <w:rsid w:val="00254AD7"/>
    <w:rsid w:val="002559C0"/>
    <w:rsid w:val="00257BF1"/>
    <w:rsid w:val="00262248"/>
    <w:rsid w:val="002624AD"/>
    <w:rsid w:val="00265359"/>
    <w:rsid w:val="00265BF5"/>
    <w:rsid w:val="0027567E"/>
    <w:rsid w:val="002757A6"/>
    <w:rsid w:val="00283630"/>
    <w:rsid w:val="00290003"/>
    <w:rsid w:val="00295981"/>
    <w:rsid w:val="002A0190"/>
    <w:rsid w:val="002A0C1F"/>
    <w:rsid w:val="002A3AB2"/>
    <w:rsid w:val="002B291F"/>
    <w:rsid w:val="002B33C9"/>
    <w:rsid w:val="002B4F1B"/>
    <w:rsid w:val="002C1757"/>
    <w:rsid w:val="002C71DA"/>
    <w:rsid w:val="002C7DF3"/>
    <w:rsid w:val="002D7E8A"/>
    <w:rsid w:val="002E1C4C"/>
    <w:rsid w:val="002E470F"/>
    <w:rsid w:val="002F0F7C"/>
    <w:rsid w:val="002F4DC7"/>
    <w:rsid w:val="002F5C62"/>
    <w:rsid w:val="002F767A"/>
    <w:rsid w:val="00300937"/>
    <w:rsid w:val="00302124"/>
    <w:rsid w:val="00302518"/>
    <w:rsid w:val="003126D0"/>
    <w:rsid w:val="00312932"/>
    <w:rsid w:val="003156CB"/>
    <w:rsid w:val="00315D8D"/>
    <w:rsid w:val="003176FD"/>
    <w:rsid w:val="00317F8B"/>
    <w:rsid w:val="00320DD3"/>
    <w:rsid w:val="003210B9"/>
    <w:rsid w:val="00322765"/>
    <w:rsid w:val="00324922"/>
    <w:rsid w:val="003259FB"/>
    <w:rsid w:val="00327706"/>
    <w:rsid w:val="003334C7"/>
    <w:rsid w:val="003357F1"/>
    <w:rsid w:val="00337E08"/>
    <w:rsid w:val="00341A2C"/>
    <w:rsid w:val="00344678"/>
    <w:rsid w:val="00351B03"/>
    <w:rsid w:val="00352265"/>
    <w:rsid w:val="003530B2"/>
    <w:rsid w:val="003545CD"/>
    <w:rsid w:val="003566AD"/>
    <w:rsid w:val="00360359"/>
    <w:rsid w:val="003624AC"/>
    <w:rsid w:val="00364978"/>
    <w:rsid w:val="0036625E"/>
    <w:rsid w:val="003668CF"/>
    <w:rsid w:val="0037077D"/>
    <w:rsid w:val="0037086F"/>
    <w:rsid w:val="00371193"/>
    <w:rsid w:val="00374104"/>
    <w:rsid w:val="00380696"/>
    <w:rsid w:val="00387179"/>
    <w:rsid w:val="00387B85"/>
    <w:rsid w:val="00391776"/>
    <w:rsid w:val="003929F4"/>
    <w:rsid w:val="00393CAF"/>
    <w:rsid w:val="00393E58"/>
    <w:rsid w:val="00394CA5"/>
    <w:rsid w:val="00396159"/>
    <w:rsid w:val="003A0A47"/>
    <w:rsid w:val="003A1C05"/>
    <w:rsid w:val="003A25E2"/>
    <w:rsid w:val="003A7861"/>
    <w:rsid w:val="003B5434"/>
    <w:rsid w:val="003B6F56"/>
    <w:rsid w:val="003C3F3A"/>
    <w:rsid w:val="003C5A5A"/>
    <w:rsid w:val="003C6196"/>
    <w:rsid w:val="003C6CA0"/>
    <w:rsid w:val="003D3682"/>
    <w:rsid w:val="003D6066"/>
    <w:rsid w:val="003D63A7"/>
    <w:rsid w:val="003E1AD6"/>
    <w:rsid w:val="003E2304"/>
    <w:rsid w:val="003E4ABB"/>
    <w:rsid w:val="003E5756"/>
    <w:rsid w:val="003F026C"/>
    <w:rsid w:val="00401660"/>
    <w:rsid w:val="0040347E"/>
    <w:rsid w:val="00410E6D"/>
    <w:rsid w:val="00412ADA"/>
    <w:rsid w:val="0042044B"/>
    <w:rsid w:val="0042486C"/>
    <w:rsid w:val="004260A2"/>
    <w:rsid w:val="00426682"/>
    <w:rsid w:val="00430EFD"/>
    <w:rsid w:val="0043517C"/>
    <w:rsid w:val="0043685A"/>
    <w:rsid w:val="004400E4"/>
    <w:rsid w:val="004413FA"/>
    <w:rsid w:val="004418D8"/>
    <w:rsid w:val="0044366B"/>
    <w:rsid w:val="00450031"/>
    <w:rsid w:val="00451F5E"/>
    <w:rsid w:val="00452718"/>
    <w:rsid w:val="004533D4"/>
    <w:rsid w:val="00453CDC"/>
    <w:rsid w:val="00453D48"/>
    <w:rsid w:val="004574E3"/>
    <w:rsid w:val="004576CE"/>
    <w:rsid w:val="004602E2"/>
    <w:rsid w:val="00461426"/>
    <w:rsid w:val="00462425"/>
    <w:rsid w:val="00462590"/>
    <w:rsid w:val="00463CF3"/>
    <w:rsid w:val="0046472B"/>
    <w:rsid w:val="00465DD6"/>
    <w:rsid w:val="00466D1E"/>
    <w:rsid w:val="00470461"/>
    <w:rsid w:val="004705A5"/>
    <w:rsid w:val="00475A85"/>
    <w:rsid w:val="00492570"/>
    <w:rsid w:val="0049562D"/>
    <w:rsid w:val="00496653"/>
    <w:rsid w:val="00496F36"/>
    <w:rsid w:val="004A021D"/>
    <w:rsid w:val="004A1366"/>
    <w:rsid w:val="004A300A"/>
    <w:rsid w:val="004A4C80"/>
    <w:rsid w:val="004A5B3B"/>
    <w:rsid w:val="004A64BB"/>
    <w:rsid w:val="004B0AD1"/>
    <w:rsid w:val="004B6734"/>
    <w:rsid w:val="004C0ED4"/>
    <w:rsid w:val="004C421F"/>
    <w:rsid w:val="004C610B"/>
    <w:rsid w:val="004C74F3"/>
    <w:rsid w:val="004D068F"/>
    <w:rsid w:val="004D0933"/>
    <w:rsid w:val="004D34A3"/>
    <w:rsid w:val="004D66E7"/>
    <w:rsid w:val="004E3393"/>
    <w:rsid w:val="004E4FFE"/>
    <w:rsid w:val="004E7290"/>
    <w:rsid w:val="00502CD6"/>
    <w:rsid w:val="00505EA0"/>
    <w:rsid w:val="00507D99"/>
    <w:rsid w:val="0051180F"/>
    <w:rsid w:val="00513560"/>
    <w:rsid w:val="00514D14"/>
    <w:rsid w:val="00515225"/>
    <w:rsid w:val="00515817"/>
    <w:rsid w:val="00517DE2"/>
    <w:rsid w:val="00526672"/>
    <w:rsid w:val="0052679A"/>
    <w:rsid w:val="005341E2"/>
    <w:rsid w:val="00540756"/>
    <w:rsid w:val="0054155F"/>
    <w:rsid w:val="00542DE1"/>
    <w:rsid w:val="00544D42"/>
    <w:rsid w:val="005460F4"/>
    <w:rsid w:val="0055061C"/>
    <w:rsid w:val="00551EEF"/>
    <w:rsid w:val="0055276A"/>
    <w:rsid w:val="00553163"/>
    <w:rsid w:val="00554E13"/>
    <w:rsid w:val="0055572F"/>
    <w:rsid w:val="00555F6C"/>
    <w:rsid w:val="00563B8C"/>
    <w:rsid w:val="00566777"/>
    <w:rsid w:val="00582E63"/>
    <w:rsid w:val="00582E84"/>
    <w:rsid w:val="00584ADF"/>
    <w:rsid w:val="0058568E"/>
    <w:rsid w:val="005907E0"/>
    <w:rsid w:val="00590C0E"/>
    <w:rsid w:val="0059682C"/>
    <w:rsid w:val="005A0AC9"/>
    <w:rsid w:val="005A1A7D"/>
    <w:rsid w:val="005A2F7F"/>
    <w:rsid w:val="005A74CA"/>
    <w:rsid w:val="005B30A7"/>
    <w:rsid w:val="005B4116"/>
    <w:rsid w:val="005B7F56"/>
    <w:rsid w:val="005C15C6"/>
    <w:rsid w:val="005D59A4"/>
    <w:rsid w:val="005D6B36"/>
    <w:rsid w:val="005E23A4"/>
    <w:rsid w:val="005E4706"/>
    <w:rsid w:val="005F095E"/>
    <w:rsid w:val="005F3B8D"/>
    <w:rsid w:val="005F5821"/>
    <w:rsid w:val="005F70D0"/>
    <w:rsid w:val="005F7684"/>
    <w:rsid w:val="006012DB"/>
    <w:rsid w:val="00606047"/>
    <w:rsid w:val="00606790"/>
    <w:rsid w:val="006072E4"/>
    <w:rsid w:val="00610B47"/>
    <w:rsid w:val="00611358"/>
    <w:rsid w:val="0061320E"/>
    <w:rsid w:val="00617816"/>
    <w:rsid w:val="00624BB2"/>
    <w:rsid w:val="00625E2C"/>
    <w:rsid w:val="00632BF6"/>
    <w:rsid w:val="00636004"/>
    <w:rsid w:val="00637129"/>
    <w:rsid w:val="006449AF"/>
    <w:rsid w:val="00645218"/>
    <w:rsid w:val="006469F7"/>
    <w:rsid w:val="00646DEE"/>
    <w:rsid w:val="00647006"/>
    <w:rsid w:val="006539CA"/>
    <w:rsid w:val="006539F3"/>
    <w:rsid w:val="006571C2"/>
    <w:rsid w:val="00657E0F"/>
    <w:rsid w:val="0066461E"/>
    <w:rsid w:val="00664C40"/>
    <w:rsid w:val="006673A6"/>
    <w:rsid w:val="00672A04"/>
    <w:rsid w:val="00673A22"/>
    <w:rsid w:val="00677EA8"/>
    <w:rsid w:val="00684889"/>
    <w:rsid w:val="006857AF"/>
    <w:rsid w:val="00686E76"/>
    <w:rsid w:val="00687962"/>
    <w:rsid w:val="00696B34"/>
    <w:rsid w:val="00696D9B"/>
    <w:rsid w:val="006970D3"/>
    <w:rsid w:val="00697BED"/>
    <w:rsid w:val="006A015A"/>
    <w:rsid w:val="006A3017"/>
    <w:rsid w:val="006A342F"/>
    <w:rsid w:val="006A539A"/>
    <w:rsid w:val="006B1E21"/>
    <w:rsid w:val="006B476B"/>
    <w:rsid w:val="006B4B23"/>
    <w:rsid w:val="006B7524"/>
    <w:rsid w:val="006C19C7"/>
    <w:rsid w:val="006C3C28"/>
    <w:rsid w:val="006C50E7"/>
    <w:rsid w:val="006D29FB"/>
    <w:rsid w:val="006D2D83"/>
    <w:rsid w:val="006D4B51"/>
    <w:rsid w:val="006D5D29"/>
    <w:rsid w:val="006D6244"/>
    <w:rsid w:val="006D6914"/>
    <w:rsid w:val="006D6E8A"/>
    <w:rsid w:val="006E02C3"/>
    <w:rsid w:val="006E21C7"/>
    <w:rsid w:val="006F1C91"/>
    <w:rsid w:val="006F20AC"/>
    <w:rsid w:val="006F264C"/>
    <w:rsid w:val="006F46D4"/>
    <w:rsid w:val="006F5B19"/>
    <w:rsid w:val="007008A2"/>
    <w:rsid w:val="00702445"/>
    <w:rsid w:val="00703691"/>
    <w:rsid w:val="00707D33"/>
    <w:rsid w:val="007200D2"/>
    <w:rsid w:val="00722426"/>
    <w:rsid w:val="0072328A"/>
    <w:rsid w:val="0072478E"/>
    <w:rsid w:val="00730BBD"/>
    <w:rsid w:val="007363F1"/>
    <w:rsid w:val="00741C47"/>
    <w:rsid w:val="0074286D"/>
    <w:rsid w:val="00743FE0"/>
    <w:rsid w:val="00747E73"/>
    <w:rsid w:val="00757793"/>
    <w:rsid w:val="0076027B"/>
    <w:rsid w:val="00761FCD"/>
    <w:rsid w:val="00766005"/>
    <w:rsid w:val="00767B70"/>
    <w:rsid w:val="00770980"/>
    <w:rsid w:val="007741B0"/>
    <w:rsid w:val="007750DF"/>
    <w:rsid w:val="00794F40"/>
    <w:rsid w:val="00795A12"/>
    <w:rsid w:val="007A0F1A"/>
    <w:rsid w:val="007A41AB"/>
    <w:rsid w:val="007A5A8B"/>
    <w:rsid w:val="007A621A"/>
    <w:rsid w:val="007A6EEC"/>
    <w:rsid w:val="007A763B"/>
    <w:rsid w:val="007C0FD9"/>
    <w:rsid w:val="007C20DC"/>
    <w:rsid w:val="007C4BDE"/>
    <w:rsid w:val="007C72C5"/>
    <w:rsid w:val="007D66DA"/>
    <w:rsid w:val="007E4005"/>
    <w:rsid w:val="007F0FA7"/>
    <w:rsid w:val="007F307E"/>
    <w:rsid w:val="0080236D"/>
    <w:rsid w:val="00802E23"/>
    <w:rsid w:val="00803ACE"/>
    <w:rsid w:val="00803DB5"/>
    <w:rsid w:val="008058BB"/>
    <w:rsid w:val="00805AEC"/>
    <w:rsid w:val="00806C15"/>
    <w:rsid w:val="00811305"/>
    <w:rsid w:val="00811435"/>
    <w:rsid w:val="00813E27"/>
    <w:rsid w:val="008160F8"/>
    <w:rsid w:val="00820BC4"/>
    <w:rsid w:val="00821B11"/>
    <w:rsid w:val="00822B0E"/>
    <w:rsid w:val="008248D0"/>
    <w:rsid w:val="008255F0"/>
    <w:rsid w:val="00825D01"/>
    <w:rsid w:val="008268A5"/>
    <w:rsid w:val="00830528"/>
    <w:rsid w:val="00830673"/>
    <w:rsid w:val="00841593"/>
    <w:rsid w:val="00844D56"/>
    <w:rsid w:val="00845265"/>
    <w:rsid w:val="00845BB6"/>
    <w:rsid w:val="00846AF8"/>
    <w:rsid w:val="00846D9B"/>
    <w:rsid w:val="0084770C"/>
    <w:rsid w:val="00851E58"/>
    <w:rsid w:val="00852844"/>
    <w:rsid w:val="00854F5D"/>
    <w:rsid w:val="008566EC"/>
    <w:rsid w:val="00857765"/>
    <w:rsid w:val="0086240A"/>
    <w:rsid w:val="00862904"/>
    <w:rsid w:val="008655BE"/>
    <w:rsid w:val="00870074"/>
    <w:rsid w:val="00872E83"/>
    <w:rsid w:val="008745AA"/>
    <w:rsid w:val="00876554"/>
    <w:rsid w:val="00877C50"/>
    <w:rsid w:val="00883CFF"/>
    <w:rsid w:val="0089431E"/>
    <w:rsid w:val="0089553B"/>
    <w:rsid w:val="008A25D4"/>
    <w:rsid w:val="008A414F"/>
    <w:rsid w:val="008A5EBA"/>
    <w:rsid w:val="008A64FC"/>
    <w:rsid w:val="008B2A68"/>
    <w:rsid w:val="008B3B7D"/>
    <w:rsid w:val="008C1014"/>
    <w:rsid w:val="008C34FA"/>
    <w:rsid w:val="008D270E"/>
    <w:rsid w:val="008D6404"/>
    <w:rsid w:val="008D7098"/>
    <w:rsid w:val="008D716F"/>
    <w:rsid w:val="008D77BA"/>
    <w:rsid w:val="008E352F"/>
    <w:rsid w:val="008E6C96"/>
    <w:rsid w:val="008E7B32"/>
    <w:rsid w:val="008F0DD9"/>
    <w:rsid w:val="008F202F"/>
    <w:rsid w:val="008F2A7F"/>
    <w:rsid w:val="008F499B"/>
    <w:rsid w:val="00900B99"/>
    <w:rsid w:val="00901096"/>
    <w:rsid w:val="00902690"/>
    <w:rsid w:val="009077F7"/>
    <w:rsid w:val="00914EC2"/>
    <w:rsid w:val="00920EF8"/>
    <w:rsid w:val="0092190E"/>
    <w:rsid w:val="009261BD"/>
    <w:rsid w:val="009264FF"/>
    <w:rsid w:val="009308A3"/>
    <w:rsid w:val="00930D6A"/>
    <w:rsid w:val="00932FD0"/>
    <w:rsid w:val="0093367B"/>
    <w:rsid w:val="00934F12"/>
    <w:rsid w:val="00936F7D"/>
    <w:rsid w:val="00937FDF"/>
    <w:rsid w:val="00965A46"/>
    <w:rsid w:val="00967E45"/>
    <w:rsid w:val="00976608"/>
    <w:rsid w:val="00981104"/>
    <w:rsid w:val="009813C4"/>
    <w:rsid w:val="00981A79"/>
    <w:rsid w:val="00981E29"/>
    <w:rsid w:val="0098690D"/>
    <w:rsid w:val="00990DA4"/>
    <w:rsid w:val="00992A74"/>
    <w:rsid w:val="0099310D"/>
    <w:rsid w:val="009A161B"/>
    <w:rsid w:val="009A47B8"/>
    <w:rsid w:val="009B0490"/>
    <w:rsid w:val="009C48B5"/>
    <w:rsid w:val="009C5E4E"/>
    <w:rsid w:val="009C7F6A"/>
    <w:rsid w:val="009D056D"/>
    <w:rsid w:val="009D09F2"/>
    <w:rsid w:val="009D43E5"/>
    <w:rsid w:val="009D68B8"/>
    <w:rsid w:val="009E1FDD"/>
    <w:rsid w:val="009E342D"/>
    <w:rsid w:val="009E5AAA"/>
    <w:rsid w:val="009E68ED"/>
    <w:rsid w:val="009E6E83"/>
    <w:rsid w:val="009E7820"/>
    <w:rsid w:val="00A01E92"/>
    <w:rsid w:val="00A11235"/>
    <w:rsid w:val="00A13340"/>
    <w:rsid w:val="00A158B1"/>
    <w:rsid w:val="00A1675A"/>
    <w:rsid w:val="00A169CB"/>
    <w:rsid w:val="00A172C5"/>
    <w:rsid w:val="00A17C54"/>
    <w:rsid w:val="00A2521C"/>
    <w:rsid w:val="00A32E03"/>
    <w:rsid w:val="00A33298"/>
    <w:rsid w:val="00A346D3"/>
    <w:rsid w:val="00A34B02"/>
    <w:rsid w:val="00A35447"/>
    <w:rsid w:val="00A36455"/>
    <w:rsid w:val="00A36536"/>
    <w:rsid w:val="00A46A28"/>
    <w:rsid w:val="00A51E0F"/>
    <w:rsid w:val="00A52718"/>
    <w:rsid w:val="00A53AA3"/>
    <w:rsid w:val="00A542F3"/>
    <w:rsid w:val="00A560D5"/>
    <w:rsid w:val="00A57DD1"/>
    <w:rsid w:val="00A62BBA"/>
    <w:rsid w:val="00A634C0"/>
    <w:rsid w:val="00A64574"/>
    <w:rsid w:val="00A663CD"/>
    <w:rsid w:val="00A6765D"/>
    <w:rsid w:val="00A742C4"/>
    <w:rsid w:val="00A7543D"/>
    <w:rsid w:val="00A77A1F"/>
    <w:rsid w:val="00A84EE1"/>
    <w:rsid w:val="00A90ABA"/>
    <w:rsid w:val="00A92624"/>
    <w:rsid w:val="00A95CD7"/>
    <w:rsid w:val="00AA1319"/>
    <w:rsid w:val="00AA204E"/>
    <w:rsid w:val="00AA7D63"/>
    <w:rsid w:val="00AB3171"/>
    <w:rsid w:val="00AB5A5E"/>
    <w:rsid w:val="00AC2B6D"/>
    <w:rsid w:val="00AC4F8B"/>
    <w:rsid w:val="00AD181D"/>
    <w:rsid w:val="00AD47FE"/>
    <w:rsid w:val="00AE0E2E"/>
    <w:rsid w:val="00AE677B"/>
    <w:rsid w:val="00AF095B"/>
    <w:rsid w:val="00AF160D"/>
    <w:rsid w:val="00AF537A"/>
    <w:rsid w:val="00AF6BF1"/>
    <w:rsid w:val="00B004A7"/>
    <w:rsid w:val="00B061C8"/>
    <w:rsid w:val="00B07D87"/>
    <w:rsid w:val="00B10D61"/>
    <w:rsid w:val="00B112BD"/>
    <w:rsid w:val="00B13B42"/>
    <w:rsid w:val="00B16852"/>
    <w:rsid w:val="00B17613"/>
    <w:rsid w:val="00B20530"/>
    <w:rsid w:val="00B20FBB"/>
    <w:rsid w:val="00B21C73"/>
    <w:rsid w:val="00B23EFD"/>
    <w:rsid w:val="00B255AB"/>
    <w:rsid w:val="00B33066"/>
    <w:rsid w:val="00B33DD0"/>
    <w:rsid w:val="00B3418C"/>
    <w:rsid w:val="00B35A40"/>
    <w:rsid w:val="00B453C6"/>
    <w:rsid w:val="00B51C64"/>
    <w:rsid w:val="00B51EFE"/>
    <w:rsid w:val="00B5235B"/>
    <w:rsid w:val="00B56F89"/>
    <w:rsid w:val="00B64734"/>
    <w:rsid w:val="00B659AD"/>
    <w:rsid w:val="00B66E66"/>
    <w:rsid w:val="00B67EC2"/>
    <w:rsid w:val="00B70E92"/>
    <w:rsid w:val="00B70FC8"/>
    <w:rsid w:val="00B71883"/>
    <w:rsid w:val="00B81653"/>
    <w:rsid w:val="00B82F45"/>
    <w:rsid w:val="00B87A4C"/>
    <w:rsid w:val="00B90DD9"/>
    <w:rsid w:val="00B92A2E"/>
    <w:rsid w:val="00B92C8D"/>
    <w:rsid w:val="00BA7694"/>
    <w:rsid w:val="00BB026E"/>
    <w:rsid w:val="00BB0F1A"/>
    <w:rsid w:val="00BB177D"/>
    <w:rsid w:val="00BB40EB"/>
    <w:rsid w:val="00BB5DD1"/>
    <w:rsid w:val="00BB64AB"/>
    <w:rsid w:val="00BB7235"/>
    <w:rsid w:val="00BC7526"/>
    <w:rsid w:val="00BD1556"/>
    <w:rsid w:val="00BE1FB3"/>
    <w:rsid w:val="00BE434A"/>
    <w:rsid w:val="00BF35DA"/>
    <w:rsid w:val="00BF3668"/>
    <w:rsid w:val="00BF658A"/>
    <w:rsid w:val="00C03A7A"/>
    <w:rsid w:val="00C11D22"/>
    <w:rsid w:val="00C127B6"/>
    <w:rsid w:val="00C1442D"/>
    <w:rsid w:val="00C14990"/>
    <w:rsid w:val="00C169FF"/>
    <w:rsid w:val="00C2551D"/>
    <w:rsid w:val="00C31FB7"/>
    <w:rsid w:val="00C32A11"/>
    <w:rsid w:val="00C331BE"/>
    <w:rsid w:val="00C41458"/>
    <w:rsid w:val="00C47BA9"/>
    <w:rsid w:val="00C5290E"/>
    <w:rsid w:val="00C576D2"/>
    <w:rsid w:val="00C606CE"/>
    <w:rsid w:val="00C6312E"/>
    <w:rsid w:val="00C63DCE"/>
    <w:rsid w:val="00C72ACD"/>
    <w:rsid w:val="00C73654"/>
    <w:rsid w:val="00C75515"/>
    <w:rsid w:val="00C80C4F"/>
    <w:rsid w:val="00C847B0"/>
    <w:rsid w:val="00C84FC1"/>
    <w:rsid w:val="00C85464"/>
    <w:rsid w:val="00C86420"/>
    <w:rsid w:val="00C87FF1"/>
    <w:rsid w:val="00C90B5D"/>
    <w:rsid w:val="00C9308F"/>
    <w:rsid w:val="00CA44F4"/>
    <w:rsid w:val="00CA7F0A"/>
    <w:rsid w:val="00CB544E"/>
    <w:rsid w:val="00CB5DE6"/>
    <w:rsid w:val="00CC4E09"/>
    <w:rsid w:val="00CC4E48"/>
    <w:rsid w:val="00CC5E0D"/>
    <w:rsid w:val="00CD0EE1"/>
    <w:rsid w:val="00CE2156"/>
    <w:rsid w:val="00CE2BF7"/>
    <w:rsid w:val="00CE2D19"/>
    <w:rsid w:val="00CE5A34"/>
    <w:rsid w:val="00CE7118"/>
    <w:rsid w:val="00CF344A"/>
    <w:rsid w:val="00CF5E95"/>
    <w:rsid w:val="00CF7AD3"/>
    <w:rsid w:val="00D03469"/>
    <w:rsid w:val="00D05ED3"/>
    <w:rsid w:val="00D103EA"/>
    <w:rsid w:val="00D11DAA"/>
    <w:rsid w:val="00D15360"/>
    <w:rsid w:val="00D16FF2"/>
    <w:rsid w:val="00D22ECF"/>
    <w:rsid w:val="00D247D2"/>
    <w:rsid w:val="00D3004E"/>
    <w:rsid w:val="00D30BE4"/>
    <w:rsid w:val="00D42194"/>
    <w:rsid w:val="00D45AD1"/>
    <w:rsid w:val="00D469BF"/>
    <w:rsid w:val="00D52CCB"/>
    <w:rsid w:val="00D549FA"/>
    <w:rsid w:val="00D54BCC"/>
    <w:rsid w:val="00D56632"/>
    <w:rsid w:val="00D56655"/>
    <w:rsid w:val="00D602B8"/>
    <w:rsid w:val="00D61639"/>
    <w:rsid w:val="00D61C3D"/>
    <w:rsid w:val="00D70EA8"/>
    <w:rsid w:val="00D7184C"/>
    <w:rsid w:val="00D72EAE"/>
    <w:rsid w:val="00D73E02"/>
    <w:rsid w:val="00D80897"/>
    <w:rsid w:val="00D80A87"/>
    <w:rsid w:val="00D8409E"/>
    <w:rsid w:val="00D9199B"/>
    <w:rsid w:val="00D94E40"/>
    <w:rsid w:val="00DA20CC"/>
    <w:rsid w:val="00DB035A"/>
    <w:rsid w:val="00DB5998"/>
    <w:rsid w:val="00DB65A5"/>
    <w:rsid w:val="00DC0697"/>
    <w:rsid w:val="00DC186A"/>
    <w:rsid w:val="00DC3514"/>
    <w:rsid w:val="00DC7620"/>
    <w:rsid w:val="00DD0CE9"/>
    <w:rsid w:val="00DD714D"/>
    <w:rsid w:val="00DE3806"/>
    <w:rsid w:val="00DE4459"/>
    <w:rsid w:val="00DE7146"/>
    <w:rsid w:val="00DF0CDB"/>
    <w:rsid w:val="00DF3009"/>
    <w:rsid w:val="00DF4206"/>
    <w:rsid w:val="00DF75F6"/>
    <w:rsid w:val="00E00B00"/>
    <w:rsid w:val="00E02A97"/>
    <w:rsid w:val="00E02F5C"/>
    <w:rsid w:val="00E03670"/>
    <w:rsid w:val="00E11216"/>
    <w:rsid w:val="00E1323E"/>
    <w:rsid w:val="00E160F1"/>
    <w:rsid w:val="00E17631"/>
    <w:rsid w:val="00E21DE0"/>
    <w:rsid w:val="00E21F4B"/>
    <w:rsid w:val="00E21F9E"/>
    <w:rsid w:val="00E2230E"/>
    <w:rsid w:val="00E22888"/>
    <w:rsid w:val="00E27A99"/>
    <w:rsid w:val="00E323CA"/>
    <w:rsid w:val="00E432D7"/>
    <w:rsid w:val="00E453CF"/>
    <w:rsid w:val="00E47708"/>
    <w:rsid w:val="00E47EDD"/>
    <w:rsid w:val="00E52724"/>
    <w:rsid w:val="00E54137"/>
    <w:rsid w:val="00E549DC"/>
    <w:rsid w:val="00E6366F"/>
    <w:rsid w:val="00E63CD2"/>
    <w:rsid w:val="00E63F03"/>
    <w:rsid w:val="00E67C0C"/>
    <w:rsid w:val="00E67E4D"/>
    <w:rsid w:val="00E703C8"/>
    <w:rsid w:val="00E709ED"/>
    <w:rsid w:val="00E70A6B"/>
    <w:rsid w:val="00E73496"/>
    <w:rsid w:val="00E80981"/>
    <w:rsid w:val="00E82A81"/>
    <w:rsid w:val="00E9298A"/>
    <w:rsid w:val="00EB0988"/>
    <w:rsid w:val="00EB3239"/>
    <w:rsid w:val="00EB38CE"/>
    <w:rsid w:val="00EB4381"/>
    <w:rsid w:val="00EB54C9"/>
    <w:rsid w:val="00EB6165"/>
    <w:rsid w:val="00ED08D8"/>
    <w:rsid w:val="00ED1DDB"/>
    <w:rsid w:val="00ED2B00"/>
    <w:rsid w:val="00ED2BC4"/>
    <w:rsid w:val="00ED5B5A"/>
    <w:rsid w:val="00EE1D45"/>
    <w:rsid w:val="00EE337B"/>
    <w:rsid w:val="00EE7C52"/>
    <w:rsid w:val="00EF2F7A"/>
    <w:rsid w:val="00EF37A3"/>
    <w:rsid w:val="00F00171"/>
    <w:rsid w:val="00F01FC0"/>
    <w:rsid w:val="00F03A19"/>
    <w:rsid w:val="00F04AE4"/>
    <w:rsid w:val="00F0662A"/>
    <w:rsid w:val="00F17286"/>
    <w:rsid w:val="00F2094D"/>
    <w:rsid w:val="00F251BC"/>
    <w:rsid w:val="00F25770"/>
    <w:rsid w:val="00F31E6B"/>
    <w:rsid w:val="00F33584"/>
    <w:rsid w:val="00F3708E"/>
    <w:rsid w:val="00F438C3"/>
    <w:rsid w:val="00F45A8B"/>
    <w:rsid w:val="00F465DA"/>
    <w:rsid w:val="00F51183"/>
    <w:rsid w:val="00F53A5A"/>
    <w:rsid w:val="00F6459A"/>
    <w:rsid w:val="00F65A37"/>
    <w:rsid w:val="00F70F0F"/>
    <w:rsid w:val="00F82D65"/>
    <w:rsid w:val="00F879E3"/>
    <w:rsid w:val="00F9057B"/>
    <w:rsid w:val="00FA0610"/>
    <w:rsid w:val="00FA4746"/>
    <w:rsid w:val="00FA5953"/>
    <w:rsid w:val="00FA6F59"/>
    <w:rsid w:val="00FA725A"/>
    <w:rsid w:val="00FB0490"/>
    <w:rsid w:val="00FB2A89"/>
    <w:rsid w:val="00FB5283"/>
    <w:rsid w:val="00FB5526"/>
    <w:rsid w:val="00FB6C11"/>
    <w:rsid w:val="00FC1386"/>
    <w:rsid w:val="00FC27E3"/>
    <w:rsid w:val="00FC39ED"/>
    <w:rsid w:val="00FD0091"/>
    <w:rsid w:val="00FD139D"/>
    <w:rsid w:val="00FD26F9"/>
    <w:rsid w:val="00FD2D96"/>
    <w:rsid w:val="00FD50E9"/>
    <w:rsid w:val="00FE2E95"/>
    <w:rsid w:val="00FE3189"/>
    <w:rsid w:val="00FE31C8"/>
    <w:rsid w:val="00FE77FB"/>
    <w:rsid w:val="00FF6AC0"/>
    <w:rsid w:val="0199C815"/>
    <w:rsid w:val="08892B35"/>
    <w:rsid w:val="0914BA97"/>
    <w:rsid w:val="091F8EAF"/>
    <w:rsid w:val="0B1A2398"/>
    <w:rsid w:val="0DD61B0D"/>
    <w:rsid w:val="0EEF6A8D"/>
    <w:rsid w:val="0F2639A7"/>
    <w:rsid w:val="156E2080"/>
    <w:rsid w:val="176529DE"/>
    <w:rsid w:val="186B0580"/>
    <w:rsid w:val="18EEB579"/>
    <w:rsid w:val="1C3A863D"/>
    <w:rsid w:val="255B383F"/>
    <w:rsid w:val="2606459D"/>
    <w:rsid w:val="2828E2E4"/>
    <w:rsid w:val="299C6957"/>
    <w:rsid w:val="29E52984"/>
    <w:rsid w:val="2FC1CB89"/>
    <w:rsid w:val="307354E1"/>
    <w:rsid w:val="33C06315"/>
    <w:rsid w:val="344A4D38"/>
    <w:rsid w:val="36DF7043"/>
    <w:rsid w:val="37FA264E"/>
    <w:rsid w:val="3914D4B6"/>
    <w:rsid w:val="3BA5BA76"/>
    <w:rsid w:val="44296F05"/>
    <w:rsid w:val="448946A8"/>
    <w:rsid w:val="44C9E170"/>
    <w:rsid w:val="47B0A97B"/>
    <w:rsid w:val="4DB0ACB7"/>
    <w:rsid w:val="4F0431B6"/>
    <w:rsid w:val="4F6C8111"/>
    <w:rsid w:val="5096B201"/>
    <w:rsid w:val="545DD62E"/>
    <w:rsid w:val="54B8EBCC"/>
    <w:rsid w:val="55137F70"/>
    <w:rsid w:val="57F52F0B"/>
    <w:rsid w:val="582B888A"/>
    <w:rsid w:val="5A404601"/>
    <w:rsid w:val="5DF313DE"/>
    <w:rsid w:val="5E2A2363"/>
    <w:rsid w:val="616197E6"/>
    <w:rsid w:val="653A5501"/>
    <w:rsid w:val="66ADC734"/>
    <w:rsid w:val="6728992B"/>
    <w:rsid w:val="69C575DF"/>
    <w:rsid w:val="69FB5E12"/>
    <w:rsid w:val="6A6191F1"/>
    <w:rsid w:val="6FAC624F"/>
    <w:rsid w:val="72AF001F"/>
    <w:rsid w:val="743A4E29"/>
    <w:rsid w:val="75CD8D31"/>
    <w:rsid w:val="75D640BD"/>
    <w:rsid w:val="75EAD8C3"/>
    <w:rsid w:val="77B9B7F7"/>
    <w:rsid w:val="780B01D3"/>
    <w:rsid w:val="7989595A"/>
    <w:rsid w:val="7C2E5A9D"/>
    <w:rsid w:val="7D5CEF83"/>
    <w:rsid w:val="7DB2FAC4"/>
    <w:rsid w:val="7E75F3F1"/>
    <w:rsid w:val="7EC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D842"/>
  <w15:chartTrackingRefBased/>
  <w15:docId w15:val="{079DE64D-9467-43EA-9EC2-1CE882E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CE"/>
    <w:rPr>
      <w:color w:val="0563C1" w:themeColor="hyperlink"/>
      <w:u w:val="single"/>
    </w:rPr>
  </w:style>
  <w:style w:type="character" w:styleId="UnresolvedMention">
    <w:name w:val="Unresolved Mention"/>
    <w:basedOn w:val="DefaultParagraphFont"/>
    <w:uiPriority w:val="99"/>
    <w:semiHidden/>
    <w:unhideWhenUsed/>
    <w:rsid w:val="00803ACE"/>
    <w:rPr>
      <w:color w:val="605E5C"/>
      <w:shd w:val="clear" w:color="auto" w:fill="E1DFDD"/>
    </w:rPr>
  </w:style>
  <w:style w:type="paragraph" w:styleId="ListParagraph">
    <w:name w:val="List Paragraph"/>
    <w:basedOn w:val="Normal"/>
    <w:uiPriority w:val="34"/>
    <w:qFormat/>
    <w:rsid w:val="00803ACE"/>
    <w:pPr>
      <w:ind w:left="720"/>
      <w:contextualSpacing/>
    </w:pPr>
  </w:style>
  <w:style w:type="character" w:customStyle="1" w:styleId="Heading1Char">
    <w:name w:val="Heading 1 Char"/>
    <w:basedOn w:val="DefaultParagraphFont"/>
    <w:link w:val="Heading1"/>
    <w:uiPriority w:val="9"/>
    <w:rsid w:val="001323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11435"/>
    <w:rPr>
      <w:sz w:val="16"/>
      <w:szCs w:val="16"/>
    </w:rPr>
  </w:style>
  <w:style w:type="paragraph" w:styleId="CommentText">
    <w:name w:val="annotation text"/>
    <w:basedOn w:val="Normal"/>
    <w:link w:val="CommentTextChar"/>
    <w:uiPriority w:val="99"/>
    <w:unhideWhenUsed/>
    <w:rsid w:val="00811435"/>
    <w:pPr>
      <w:spacing w:line="240" w:lineRule="auto"/>
    </w:pPr>
    <w:rPr>
      <w:sz w:val="20"/>
      <w:szCs w:val="20"/>
    </w:rPr>
  </w:style>
  <w:style w:type="character" w:customStyle="1" w:styleId="CommentTextChar">
    <w:name w:val="Comment Text Char"/>
    <w:basedOn w:val="DefaultParagraphFont"/>
    <w:link w:val="CommentText"/>
    <w:uiPriority w:val="99"/>
    <w:rsid w:val="00811435"/>
    <w:rPr>
      <w:sz w:val="20"/>
      <w:szCs w:val="20"/>
    </w:rPr>
  </w:style>
  <w:style w:type="paragraph" w:styleId="CommentSubject">
    <w:name w:val="annotation subject"/>
    <w:basedOn w:val="CommentText"/>
    <w:next w:val="CommentText"/>
    <w:link w:val="CommentSubjectChar"/>
    <w:uiPriority w:val="99"/>
    <w:semiHidden/>
    <w:unhideWhenUsed/>
    <w:rsid w:val="00811435"/>
    <w:rPr>
      <w:b/>
      <w:bCs/>
    </w:rPr>
  </w:style>
  <w:style w:type="character" w:customStyle="1" w:styleId="CommentSubjectChar">
    <w:name w:val="Comment Subject Char"/>
    <w:basedOn w:val="CommentTextChar"/>
    <w:link w:val="CommentSubject"/>
    <w:uiPriority w:val="99"/>
    <w:semiHidden/>
    <w:rsid w:val="00811435"/>
    <w:rPr>
      <w:b/>
      <w:bCs/>
      <w:sz w:val="20"/>
      <w:szCs w:val="20"/>
    </w:rPr>
  </w:style>
  <w:style w:type="paragraph" w:styleId="NoSpacing">
    <w:name w:val="No Spacing"/>
    <w:uiPriority w:val="1"/>
    <w:qFormat/>
    <w:rsid w:val="00A158B1"/>
    <w:pPr>
      <w:spacing w:after="0" w:line="240" w:lineRule="auto"/>
    </w:pPr>
  </w:style>
  <w:style w:type="paragraph" w:styleId="Revision">
    <w:name w:val="Revision"/>
    <w:hidden/>
    <w:uiPriority w:val="99"/>
    <w:semiHidden/>
    <w:rsid w:val="001535DC"/>
    <w:pPr>
      <w:spacing w:after="0" w:line="240" w:lineRule="auto"/>
    </w:pPr>
  </w:style>
  <w:style w:type="paragraph" w:styleId="Header">
    <w:name w:val="header"/>
    <w:basedOn w:val="Normal"/>
    <w:link w:val="HeaderChar"/>
    <w:uiPriority w:val="99"/>
    <w:unhideWhenUsed/>
    <w:rsid w:val="0099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DA4"/>
  </w:style>
  <w:style w:type="paragraph" w:styleId="Footer">
    <w:name w:val="footer"/>
    <w:basedOn w:val="Normal"/>
    <w:link w:val="FooterChar"/>
    <w:uiPriority w:val="99"/>
    <w:unhideWhenUsed/>
    <w:rsid w:val="0099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DA4"/>
  </w:style>
  <w:style w:type="character" w:styleId="Mention">
    <w:name w:val="Mention"/>
    <w:basedOn w:val="DefaultParagraphFont"/>
    <w:uiPriority w:val="99"/>
    <w:unhideWhenUsed/>
    <w:rsid w:val="00877C50"/>
    <w:rPr>
      <w:color w:val="2B579A"/>
      <w:shd w:val="clear" w:color="auto" w:fill="E1DFDD"/>
    </w:rPr>
  </w:style>
  <w:style w:type="character" w:customStyle="1" w:styleId="Heading2Char">
    <w:name w:val="Heading 2 Char"/>
    <w:basedOn w:val="DefaultParagraphFont"/>
    <w:link w:val="Heading2"/>
    <w:uiPriority w:val="9"/>
    <w:rsid w:val="003917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224">
      <w:bodyDiv w:val="1"/>
      <w:marLeft w:val="0"/>
      <w:marRight w:val="0"/>
      <w:marTop w:val="0"/>
      <w:marBottom w:val="0"/>
      <w:divBdr>
        <w:top w:val="none" w:sz="0" w:space="0" w:color="auto"/>
        <w:left w:val="none" w:sz="0" w:space="0" w:color="auto"/>
        <w:bottom w:val="none" w:sz="0" w:space="0" w:color="auto"/>
        <w:right w:val="none" w:sz="0" w:space="0" w:color="auto"/>
      </w:divBdr>
      <w:divsChild>
        <w:div w:id="1498379175">
          <w:marLeft w:val="240"/>
          <w:marRight w:val="0"/>
          <w:marTop w:val="0"/>
          <w:marBottom w:val="0"/>
          <w:divBdr>
            <w:top w:val="none" w:sz="0" w:space="0" w:color="auto"/>
            <w:left w:val="none" w:sz="0" w:space="0" w:color="auto"/>
            <w:bottom w:val="none" w:sz="0" w:space="0" w:color="auto"/>
            <w:right w:val="none" w:sz="0" w:space="0" w:color="auto"/>
          </w:divBdr>
        </w:div>
      </w:divsChild>
    </w:div>
    <w:div w:id="383480407">
      <w:bodyDiv w:val="1"/>
      <w:marLeft w:val="0"/>
      <w:marRight w:val="0"/>
      <w:marTop w:val="0"/>
      <w:marBottom w:val="0"/>
      <w:divBdr>
        <w:top w:val="none" w:sz="0" w:space="0" w:color="auto"/>
        <w:left w:val="none" w:sz="0" w:space="0" w:color="auto"/>
        <w:bottom w:val="none" w:sz="0" w:space="0" w:color="auto"/>
        <w:right w:val="none" w:sz="0" w:space="0" w:color="auto"/>
      </w:divBdr>
    </w:div>
    <w:div w:id="499000845">
      <w:bodyDiv w:val="1"/>
      <w:marLeft w:val="0"/>
      <w:marRight w:val="0"/>
      <w:marTop w:val="0"/>
      <w:marBottom w:val="0"/>
      <w:divBdr>
        <w:top w:val="none" w:sz="0" w:space="0" w:color="auto"/>
        <w:left w:val="none" w:sz="0" w:space="0" w:color="auto"/>
        <w:bottom w:val="none" w:sz="0" w:space="0" w:color="auto"/>
        <w:right w:val="none" w:sz="0" w:space="0" w:color="auto"/>
      </w:divBdr>
      <w:divsChild>
        <w:div w:id="113714346">
          <w:marLeft w:val="0"/>
          <w:marRight w:val="0"/>
          <w:marTop w:val="0"/>
          <w:marBottom w:val="0"/>
          <w:divBdr>
            <w:top w:val="none" w:sz="0" w:space="0" w:color="auto"/>
            <w:left w:val="none" w:sz="0" w:space="0" w:color="auto"/>
            <w:bottom w:val="none" w:sz="0" w:space="0" w:color="auto"/>
            <w:right w:val="none" w:sz="0" w:space="0" w:color="auto"/>
          </w:divBdr>
        </w:div>
        <w:div w:id="317342815">
          <w:marLeft w:val="0"/>
          <w:marRight w:val="0"/>
          <w:marTop w:val="0"/>
          <w:marBottom w:val="0"/>
          <w:divBdr>
            <w:top w:val="none" w:sz="0" w:space="0" w:color="auto"/>
            <w:left w:val="none" w:sz="0" w:space="0" w:color="auto"/>
            <w:bottom w:val="none" w:sz="0" w:space="0" w:color="auto"/>
            <w:right w:val="none" w:sz="0" w:space="0" w:color="auto"/>
          </w:divBdr>
        </w:div>
        <w:div w:id="63767563">
          <w:marLeft w:val="0"/>
          <w:marRight w:val="0"/>
          <w:marTop w:val="0"/>
          <w:marBottom w:val="0"/>
          <w:divBdr>
            <w:top w:val="none" w:sz="0" w:space="0" w:color="auto"/>
            <w:left w:val="none" w:sz="0" w:space="0" w:color="auto"/>
            <w:bottom w:val="none" w:sz="0" w:space="0" w:color="auto"/>
            <w:right w:val="none" w:sz="0" w:space="0" w:color="auto"/>
          </w:divBdr>
        </w:div>
      </w:divsChild>
    </w:div>
    <w:div w:id="636301642">
      <w:bodyDiv w:val="1"/>
      <w:marLeft w:val="0"/>
      <w:marRight w:val="0"/>
      <w:marTop w:val="0"/>
      <w:marBottom w:val="0"/>
      <w:divBdr>
        <w:top w:val="none" w:sz="0" w:space="0" w:color="auto"/>
        <w:left w:val="none" w:sz="0" w:space="0" w:color="auto"/>
        <w:bottom w:val="none" w:sz="0" w:space="0" w:color="auto"/>
        <w:right w:val="none" w:sz="0" w:space="0" w:color="auto"/>
      </w:divBdr>
      <w:divsChild>
        <w:div w:id="326518746">
          <w:marLeft w:val="240"/>
          <w:marRight w:val="0"/>
          <w:marTop w:val="0"/>
          <w:marBottom w:val="0"/>
          <w:divBdr>
            <w:top w:val="none" w:sz="0" w:space="0" w:color="auto"/>
            <w:left w:val="none" w:sz="0" w:space="0" w:color="auto"/>
            <w:bottom w:val="none" w:sz="0" w:space="0" w:color="auto"/>
            <w:right w:val="none" w:sz="0" w:space="0" w:color="auto"/>
          </w:divBdr>
        </w:div>
      </w:divsChild>
    </w:div>
    <w:div w:id="1079672640">
      <w:bodyDiv w:val="1"/>
      <w:marLeft w:val="0"/>
      <w:marRight w:val="0"/>
      <w:marTop w:val="0"/>
      <w:marBottom w:val="0"/>
      <w:divBdr>
        <w:top w:val="none" w:sz="0" w:space="0" w:color="auto"/>
        <w:left w:val="none" w:sz="0" w:space="0" w:color="auto"/>
        <w:bottom w:val="none" w:sz="0" w:space="0" w:color="auto"/>
        <w:right w:val="none" w:sz="0" w:space="0" w:color="auto"/>
      </w:divBdr>
      <w:divsChild>
        <w:div w:id="2085954922">
          <w:marLeft w:val="0"/>
          <w:marRight w:val="0"/>
          <w:marTop w:val="60"/>
          <w:marBottom w:val="60"/>
          <w:divBdr>
            <w:top w:val="none" w:sz="0" w:space="0" w:color="FFFFFF"/>
            <w:left w:val="none" w:sz="0" w:space="0" w:color="FFFFFF"/>
            <w:bottom w:val="none" w:sz="0" w:space="0" w:color="FFFFFF"/>
            <w:right w:val="none" w:sz="0" w:space="0" w:color="FFFFFF"/>
          </w:divBdr>
        </w:div>
        <w:div w:id="1647471402">
          <w:marLeft w:val="0"/>
          <w:marRight w:val="0"/>
          <w:marTop w:val="60"/>
          <w:marBottom w:val="60"/>
          <w:divBdr>
            <w:top w:val="none" w:sz="0" w:space="0" w:color="0B5940"/>
            <w:left w:val="none" w:sz="0" w:space="0" w:color="0B5940"/>
            <w:bottom w:val="none" w:sz="0" w:space="0" w:color="0B5940"/>
            <w:right w:val="none" w:sz="0" w:space="0" w:color="0B5940"/>
          </w:divBdr>
        </w:div>
      </w:divsChild>
    </w:div>
    <w:div w:id="1093404398">
      <w:bodyDiv w:val="1"/>
      <w:marLeft w:val="0"/>
      <w:marRight w:val="0"/>
      <w:marTop w:val="0"/>
      <w:marBottom w:val="0"/>
      <w:divBdr>
        <w:top w:val="none" w:sz="0" w:space="0" w:color="auto"/>
        <w:left w:val="none" w:sz="0" w:space="0" w:color="auto"/>
        <w:bottom w:val="none" w:sz="0" w:space="0" w:color="auto"/>
        <w:right w:val="none" w:sz="0" w:space="0" w:color="auto"/>
      </w:divBdr>
      <w:divsChild>
        <w:div w:id="1770077247">
          <w:marLeft w:val="0"/>
          <w:marRight w:val="0"/>
          <w:marTop w:val="60"/>
          <w:marBottom w:val="60"/>
          <w:divBdr>
            <w:top w:val="none" w:sz="0" w:space="0" w:color="FFFFFF"/>
            <w:left w:val="none" w:sz="0" w:space="0" w:color="FFFFFF"/>
            <w:bottom w:val="none" w:sz="0" w:space="0" w:color="FFFFFF"/>
            <w:right w:val="none" w:sz="0" w:space="0" w:color="FFFFFF"/>
          </w:divBdr>
          <w:divsChild>
            <w:div w:id="685444970">
              <w:marLeft w:val="450"/>
              <w:marRight w:val="0"/>
              <w:marTop w:val="75"/>
              <w:marBottom w:val="75"/>
              <w:divBdr>
                <w:top w:val="none" w:sz="0" w:space="0" w:color="auto"/>
                <w:left w:val="none" w:sz="0" w:space="0" w:color="auto"/>
                <w:bottom w:val="none" w:sz="0" w:space="0" w:color="auto"/>
                <w:right w:val="none" w:sz="0" w:space="0" w:color="auto"/>
              </w:divBdr>
              <w:divsChild>
                <w:div w:id="728386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394407">
          <w:marLeft w:val="0"/>
          <w:marRight w:val="0"/>
          <w:marTop w:val="60"/>
          <w:marBottom w:val="60"/>
          <w:divBdr>
            <w:top w:val="none" w:sz="0" w:space="0" w:color="FFFFFF"/>
            <w:left w:val="none" w:sz="0" w:space="0" w:color="FFFFFF"/>
            <w:bottom w:val="none" w:sz="0" w:space="0" w:color="FFFFFF"/>
            <w:right w:val="none" w:sz="0" w:space="0" w:color="FFFFFF"/>
          </w:divBdr>
          <w:divsChild>
            <w:div w:id="1469397114">
              <w:marLeft w:val="450"/>
              <w:marRight w:val="0"/>
              <w:marTop w:val="75"/>
              <w:marBottom w:val="75"/>
              <w:divBdr>
                <w:top w:val="none" w:sz="0" w:space="0" w:color="auto"/>
                <w:left w:val="none" w:sz="0" w:space="0" w:color="auto"/>
                <w:bottom w:val="none" w:sz="0" w:space="0" w:color="auto"/>
                <w:right w:val="none" w:sz="0" w:space="0" w:color="auto"/>
              </w:divBdr>
            </w:div>
          </w:divsChild>
        </w:div>
        <w:div w:id="669481009">
          <w:marLeft w:val="0"/>
          <w:marRight w:val="0"/>
          <w:marTop w:val="60"/>
          <w:marBottom w:val="60"/>
          <w:divBdr>
            <w:top w:val="none" w:sz="0" w:space="0" w:color="FFFFFF"/>
            <w:left w:val="none" w:sz="0" w:space="0" w:color="FFFFFF"/>
            <w:bottom w:val="none" w:sz="0" w:space="0" w:color="FFFFFF"/>
            <w:right w:val="none" w:sz="0" w:space="0" w:color="FFFFFF"/>
          </w:divBdr>
        </w:div>
        <w:div w:id="670255927">
          <w:marLeft w:val="0"/>
          <w:marRight w:val="0"/>
          <w:marTop w:val="60"/>
          <w:marBottom w:val="60"/>
          <w:divBdr>
            <w:top w:val="none" w:sz="0" w:space="0" w:color="FFFFFF"/>
            <w:left w:val="none" w:sz="0" w:space="0" w:color="FFFFFF"/>
            <w:bottom w:val="none" w:sz="0" w:space="0" w:color="FFFFFF"/>
            <w:right w:val="none" w:sz="0" w:space="0" w:color="FFFFFF"/>
          </w:divBdr>
        </w:div>
        <w:div w:id="701983098">
          <w:marLeft w:val="0"/>
          <w:marRight w:val="0"/>
          <w:marTop w:val="60"/>
          <w:marBottom w:val="60"/>
          <w:divBdr>
            <w:top w:val="none" w:sz="0" w:space="0" w:color="FFFFFF"/>
            <w:left w:val="none" w:sz="0" w:space="0" w:color="FFFFFF"/>
            <w:bottom w:val="none" w:sz="0" w:space="0" w:color="FFFFFF"/>
            <w:right w:val="none" w:sz="0" w:space="0" w:color="FFFFFF"/>
          </w:divBdr>
        </w:div>
        <w:div w:id="616714234">
          <w:marLeft w:val="0"/>
          <w:marRight w:val="0"/>
          <w:marTop w:val="60"/>
          <w:marBottom w:val="60"/>
          <w:divBdr>
            <w:top w:val="none" w:sz="0" w:space="0" w:color="FFFFFF"/>
            <w:left w:val="none" w:sz="0" w:space="0" w:color="FFFFFF"/>
            <w:bottom w:val="none" w:sz="0" w:space="0" w:color="FFFFFF"/>
            <w:right w:val="none" w:sz="0" w:space="0" w:color="FFFFFF"/>
          </w:divBdr>
          <w:divsChild>
            <w:div w:id="1275358950">
              <w:marLeft w:val="240"/>
              <w:marRight w:val="0"/>
              <w:marTop w:val="0"/>
              <w:marBottom w:val="0"/>
              <w:divBdr>
                <w:top w:val="none" w:sz="0" w:space="0" w:color="auto"/>
                <w:left w:val="none" w:sz="0" w:space="0" w:color="auto"/>
                <w:bottom w:val="none" w:sz="0" w:space="0" w:color="auto"/>
                <w:right w:val="none" w:sz="0" w:space="0" w:color="auto"/>
              </w:divBdr>
              <w:divsChild>
                <w:div w:id="1100493300">
                  <w:marLeft w:val="960"/>
                  <w:marRight w:val="0"/>
                  <w:marTop w:val="75"/>
                  <w:marBottom w:val="75"/>
                  <w:divBdr>
                    <w:top w:val="none" w:sz="0" w:space="0" w:color="auto"/>
                    <w:left w:val="none" w:sz="0" w:space="0" w:color="auto"/>
                    <w:bottom w:val="none" w:sz="0" w:space="0" w:color="auto"/>
                    <w:right w:val="none" w:sz="0" w:space="0" w:color="auto"/>
                  </w:divBdr>
                </w:div>
                <w:div w:id="1984694778">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208301653">
          <w:marLeft w:val="0"/>
          <w:marRight w:val="0"/>
          <w:marTop w:val="60"/>
          <w:marBottom w:val="60"/>
          <w:divBdr>
            <w:top w:val="none" w:sz="0" w:space="0" w:color="FFFFFF"/>
            <w:left w:val="none" w:sz="0" w:space="0" w:color="FFFFFF"/>
            <w:bottom w:val="none" w:sz="0" w:space="0" w:color="FFFFFF"/>
            <w:right w:val="none" w:sz="0" w:space="0" w:color="FFFFFF"/>
          </w:divBdr>
          <w:divsChild>
            <w:div w:id="1374306836">
              <w:marLeft w:val="450"/>
              <w:marRight w:val="0"/>
              <w:marTop w:val="75"/>
              <w:marBottom w:val="75"/>
              <w:divBdr>
                <w:top w:val="none" w:sz="0" w:space="0" w:color="auto"/>
                <w:left w:val="none" w:sz="0" w:space="0" w:color="auto"/>
                <w:bottom w:val="none" w:sz="0" w:space="0" w:color="auto"/>
                <w:right w:val="none" w:sz="0" w:space="0" w:color="auto"/>
              </w:divBdr>
            </w:div>
          </w:divsChild>
        </w:div>
        <w:div w:id="1727676116">
          <w:marLeft w:val="0"/>
          <w:marRight w:val="0"/>
          <w:marTop w:val="60"/>
          <w:marBottom w:val="60"/>
          <w:divBdr>
            <w:top w:val="none" w:sz="0" w:space="0" w:color="FFFFFF"/>
            <w:left w:val="none" w:sz="0" w:space="0" w:color="FFFFFF"/>
            <w:bottom w:val="none" w:sz="0" w:space="0" w:color="FFFFFF"/>
            <w:right w:val="none" w:sz="0" w:space="0" w:color="FFFFFF"/>
          </w:divBdr>
          <w:divsChild>
            <w:div w:id="400560102">
              <w:marLeft w:val="240"/>
              <w:marRight w:val="0"/>
              <w:marTop w:val="0"/>
              <w:marBottom w:val="0"/>
              <w:divBdr>
                <w:top w:val="none" w:sz="0" w:space="0" w:color="auto"/>
                <w:left w:val="none" w:sz="0" w:space="0" w:color="auto"/>
                <w:bottom w:val="none" w:sz="0" w:space="0" w:color="auto"/>
                <w:right w:val="none" w:sz="0" w:space="0" w:color="auto"/>
              </w:divBdr>
              <w:divsChild>
                <w:div w:id="88737367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31477422">
          <w:marLeft w:val="0"/>
          <w:marRight w:val="0"/>
          <w:marTop w:val="60"/>
          <w:marBottom w:val="60"/>
          <w:divBdr>
            <w:top w:val="none" w:sz="0" w:space="0" w:color="FFFFFF"/>
            <w:left w:val="none" w:sz="0" w:space="0" w:color="FFFFFF"/>
            <w:bottom w:val="none" w:sz="0" w:space="0" w:color="FFFFFF"/>
            <w:right w:val="none" w:sz="0" w:space="0" w:color="FFFFFF"/>
          </w:divBdr>
        </w:div>
        <w:div w:id="1663269166">
          <w:marLeft w:val="0"/>
          <w:marRight w:val="0"/>
          <w:marTop w:val="60"/>
          <w:marBottom w:val="60"/>
          <w:divBdr>
            <w:top w:val="none" w:sz="0" w:space="0" w:color="FFFFFF"/>
            <w:left w:val="none" w:sz="0" w:space="0" w:color="FFFFFF"/>
            <w:bottom w:val="none" w:sz="0" w:space="0" w:color="FFFFFF"/>
            <w:right w:val="none" w:sz="0" w:space="0" w:color="FFFFFF"/>
          </w:divBdr>
        </w:div>
        <w:div w:id="345179272">
          <w:marLeft w:val="0"/>
          <w:marRight w:val="0"/>
          <w:marTop w:val="60"/>
          <w:marBottom w:val="60"/>
          <w:divBdr>
            <w:top w:val="none" w:sz="0" w:space="0" w:color="FFFFFF"/>
            <w:left w:val="none" w:sz="0" w:space="0" w:color="FFFFFF"/>
            <w:bottom w:val="none" w:sz="0" w:space="0" w:color="FFFFFF"/>
            <w:right w:val="none" w:sz="0" w:space="0" w:color="FFFFFF"/>
          </w:divBdr>
        </w:div>
        <w:div w:id="1326014218">
          <w:marLeft w:val="0"/>
          <w:marRight w:val="0"/>
          <w:marTop w:val="60"/>
          <w:marBottom w:val="60"/>
          <w:divBdr>
            <w:top w:val="none" w:sz="0" w:space="0" w:color="FFFFFF"/>
            <w:left w:val="none" w:sz="0" w:space="0" w:color="FFFFFF"/>
            <w:bottom w:val="none" w:sz="0" w:space="0" w:color="FFFFFF"/>
            <w:right w:val="none" w:sz="0" w:space="0" w:color="FFFFFF"/>
          </w:divBdr>
        </w:div>
        <w:div w:id="746416814">
          <w:marLeft w:val="0"/>
          <w:marRight w:val="0"/>
          <w:marTop w:val="60"/>
          <w:marBottom w:val="60"/>
          <w:divBdr>
            <w:top w:val="none" w:sz="0" w:space="0" w:color="0B5940"/>
            <w:left w:val="none" w:sz="0" w:space="0" w:color="0B5940"/>
            <w:bottom w:val="none" w:sz="0" w:space="0" w:color="0B5940"/>
            <w:right w:val="none" w:sz="0" w:space="0" w:color="0B5940"/>
          </w:divBdr>
          <w:divsChild>
            <w:div w:id="175852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453533">
      <w:bodyDiv w:val="1"/>
      <w:marLeft w:val="0"/>
      <w:marRight w:val="0"/>
      <w:marTop w:val="0"/>
      <w:marBottom w:val="0"/>
      <w:divBdr>
        <w:top w:val="none" w:sz="0" w:space="0" w:color="auto"/>
        <w:left w:val="none" w:sz="0" w:space="0" w:color="auto"/>
        <w:bottom w:val="none" w:sz="0" w:space="0" w:color="auto"/>
        <w:right w:val="none" w:sz="0" w:space="0" w:color="auto"/>
      </w:divBdr>
      <w:divsChild>
        <w:div w:id="81610163">
          <w:marLeft w:val="0"/>
          <w:marRight w:val="0"/>
          <w:marTop w:val="0"/>
          <w:marBottom w:val="0"/>
          <w:divBdr>
            <w:top w:val="none" w:sz="0" w:space="0" w:color="auto"/>
            <w:left w:val="none" w:sz="0" w:space="0" w:color="auto"/>
            <w:bottom w:val="none" w:sz="0" w:space="0" w:color="auto"/>
            <w:right w:val="none" w:sz="0" w:space="0" w:color="auto"/>
          </w:divBdr>
        </w:div>
        <w:div w:id="26377783">
          <w:marLeft w:val="0"/>
          <w:marRight w:val="0"/>
          <w:marTop w:val="0"/>
          <w:marBottom w:val="0"/>
          <w:divBdr>
            <w:top w:val="none" w:sz="0" w:space="0" w:color="auto"/>
            <w:left w:val="none" w:sz="0" w:space="0" w:color="auto"/>
            <w:bottom w:val="none" w:sz="0" w:space="0" w:color="auto"/>
            <w:right w:val="none" w:sz="0" w:space="0" w:color="auto"/>
          </w:divBdr>
        </w:div>
        <w:div w:id="1088506772">
          <w:marLeft w:val="0"/>
          <w:marRight w:val="0"/>
          <w:marTop w:val="0"/>
          <w:marBottom w:val="0"/>
          <w:divBdr>
            <w:top w:val="none" w:sz="0" w:space="0" w:color="auto"/>
            <w:left w:val="none" w:sz="0" w:space="0" w:color="auto"/>
            <w:bottom w:val="none" w:sz="0" w:space="0" w:color="auto"/>
            <w:right w:val="none" w:sz="0" w:space="0" w:color="auto"/>
          </w:divBdr>
        </w:div>
        <w:div w:id="278220899">
          <w:marLeft w:val="0"/>
          <w:marRight w:val="0"/>
          <w:marTop w:val="0"/>
          <w:marBottom w:val="0"/>
          <w:divBdr>
            <w:top w:val="none" w:sz="0" w:space="0" w:color="auto"/>
            <w:left w:val="none" w:sz="0" w:space="0" w:color="auto"/>
            <w:bottom w:val="none" w:sz="0" w:space="0" w:color="auto"/>
            <w:right w:val="none" w:sz="0" w:space="0" w:color="auto"/>
          </w:divBdr>
        </w:div>
        <w:div w:id="68626030">
          <w:marLeft w:val="0"/>
          <w:marRight w:val="0"/>
          <w:marTop w:val="0"/>
          <w:marBottom w:val="0"/>
          <w:divBdr>
            <w:top w:val="none" w:sz="0" w:space="0" w:color="auto"/>
            <w:left w:val="none" w:sz="0" w:space="0" w:color="auto"/>
            <w:bottom w:val="none" w:sz="0" w:space="0" w:color="auto"/>
            <w:right w:val="none" w:sz="0" w:space="0" w:color="auto"/>
          </w:divBdr>
        </w:div>
        <w:div w:id="1510487202">
          <w:marLeft w:val="0"/>
          <w:marRight w:val="0"/>
          <w:marTop w:val="0"/>
          <w:marBottom w:val="0"/>
          <w:divBdr>
            <w:top w:val="none" w:sz="0" w:space="0" w:color="auto"/>
            <w:left w:val="none" w:sz="0" w:space="0" w:color="auto"/>
            <w:bottom w:val="none" w:sz="0" w:space="0" w:color="auto"/>
            <w:right w:val="none" w:sz="0" w:space="0" w:color="auto"/>
          </w:divBdr>
        </w:div>
      </w:divsChild>
    </w:div>
    <w:div w:id="11947287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763">
          <w:marLeft w:val="0"/>
          <w:marRight w:val="0"/>
          <w:marTop w:val="60"/>
          <w:marBottom w:val="60"/>
          <w:divBdr>
            <w:top w:val="none" w:sz="0" w:space="0" w:color="FFFFFF"/>
            <w:left w:val="none" w:sz="0" w:space="0" w:color="FFFFFF"/>
            <w:bottom w:val="none" w:sz="0" w:space="0" w:color="FFFFFF"/>
            <w:right w:val="none" w:sz="0" w:space="0" w:color="FFFFFF"/>
          </w:divBdr>
          <w:divsChild>
            <w:div w:id="1066145259">
              <w:marLeft w:val="450"/>
              <w:marRight w:val="0"/>
              <w:marTop w:val="75"/>
              <w:marBottom w:val="75"/>
              <w:divBdr>
                <w:top w:val="none" w:sz="0" w:space="0" w:color="auto"/>
                <w:left w:val="none" w:sz="0" w:space="0" w:color="auto"/>
                <w:bottom w:val="none" w:sz="0" w:space="0" w:color="auto"/>
                <w:right w:val="none" w:sz="0" w:space="0" w:color="auto"/>
              </w:divBdr>
              <w:divsChild>
                <w:div w:id="196477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454118">
          <w:marLeft w:val="0"/>
          <w:marRight w:val="0"/>
          <w:marTop w:val="60"/>
          <w:marBottom w:val="60"/>
          <w:divBdr>
            <w:top w:val="none" w:sz="0" w:space="0" w:color="FFFFFF"/>
            <w:left w:val="none" w:sz="0" w:space="0" w:color="FFFFFF"/>
            <w:bottom w:val="none" w:sz="0" w:space="0" w:color="FFFFFF"/>
            <w:right w:val="none" w:sz="0" w:space="0" w:color="FFFFFF"/>
          </w:divBdr>
          <w:divsChild>
            <w:div w:id="1392582790">
              <w:marLeft w:val="240"/>
              <w:marRight w:val="0"/>
              <w:marTop w:val="0"/>
              <w:marBottom w:val="0"/>
              <w:divBdr>
                <w:top w:val="none" w:sz="0" w:space="0" w:color="auto"/>
                <w:left w:val="none" w:sz="0" w:space="0" w:color="auto"/>
                <w:bottom w:val="none" w:sz="0" w:space="0" w:color="auto"/>
                <w:right w:val="none" w:sz="0" w:space="0" w:color="auto"/>
              </w:divBdr>
            </w:div>
            <w:div w:id="1633946793">
              <w:marLeft w:val="240"/>
              <w:marRight w:val="0"/>
              <w:marTop w:val="0"/>
              <w:marBottom w:val="0"/>
              <w:divBdr>
                <w:top w:val="none" w:sz="0" w:space="0" w:color="auto"/>
                <w:left w:val="none" w:sz="0" w:space="0" w:color="auto"/>
                <w:bottom w:val="none" w:sz="0" w:space="0" w:color="auto"/>
                <w:right w:val="none" w:sz="0" w:space="0" w:color="auto"/>
              </w:divBdr>
            </w:div>
          </w:divsChild>
        </w:div>
        <w:div w:id="349962867">
          <w:marLeft w:val="0"/>
          <w:marRight w:val="0"/>
          <w:marTop w:val="60"/>
          <w:marBottom w:val="60"/>
          <w:divBdr>
            <w:top w:val="none" w:sz="0" w:space="0" w:color="FFFFFF"/>
            <w:left w:val="none" w:sz="0" w:space="0" w:color="FFFFFF"/>
            <w:bottom w:val="none" w:sz="0" w:space="0" w:color="FFFFFF"/>
            <w:right w:val="none" w:sz="0" w:space="0" w:color="FFFFFF"/>
          </w:divBdr>
          <w:divsChild>
            <w:div w:id="250551448">
              <w:marLeft w:val="0"/>
              <w:marRight w:val="0"/>
              <w:marTop w:val="0"/>
              <w:marBottom w:val="0"/>
              <w:divBdr>
                <w:top w:val="none" w:sz="0" w:space="0" w:color="auto"/>
                <w:left w:val="none" w:sz="0" w:space="0" w:color="auto"/>
                <w:bottom w:val="none" w:sz="0" w:space="0" w:color="auto"/>
                <w:right w:val="none" w:sz="0" w:space="0" w:color="auto"/>
              </w:divBdr>
              <w:divsChild>
                <w:div w:id="895816335">
                  <w:marLeft w:val="0"/>
                  <w:marRight w:val="0"/>
                  <w:marTop w:val="0"/>
                  <w:marBottom w:val="0"/>
                  <w:divBdr>
                    <w:top w:val="none" w:sz="0" w:space="0" w:color="auto"/>
                    <w:left w:val="none" w:sz="0" w:space="0" w:color="auto"/>
                    <w:bottom w:val="none" w:sz="0" w:space="0" w:color="auto"/>
                    <w:right w:val="none" w:sz="0" w:space="0" w:color="auto"/>
                  </w:divBdr>
                  <w:divsChild>
                    <w:div w:id="65306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465">
          <w:marLeft w:val="0"/>
          <w:marRight w:val="0"/>
          <w:marTop w:val="60"/>
          <w:marBottom w:val="60"/>
          <w:divBdr>
            <w:top w:val="none" w:sz="0" w:space="0" w:color="FFFFFF"/>
            <w:left w:val="none" w:sz="0" w:space="0" w:color="FFFFFF"/>
            <w:bottom w:val="none" w:sz="0" w:space="0" w:color="FFFFFF"/>
            <w:right w:val="none" w:sz="0" w:space="0" w:color="FFFFFF"/>
          </w:divBdr>
        </w:div>
        <w:div w:id="748696594">
          <w:marLeft w:val="0"/>
          <w:marRight w:val="0"/>
          <w:marTop w:val="60"/>
          <w:marBottom w:val="60"/>
          <w:divBdr>
            <w:top w:val="none" w:sz="0" w:space="0" w:color="FFFFFF"/>
            <w:left w:val="none" w:sz="0" w:space="0" w:color="FFFFFF"/>
            <w:bottom w:val="none" w:sz="0" w:space="0" w:color="FFFFFF"/>
            <w:right w:val="none" w:sz="0" w:space="0" w:color="FFFFFF"/>
          </w:divBdr>
        </w:div>
        <w:div w:id="822085537">
          <w:marLeft w:val="0"/>
          <w:marRight w:val="0"/>
          <w:marTop w:val="60"/>
          <w:marBottom w:val="60"/>
          <w:divBdr>
            <w:top w:val="none" w:sz="0" w:space="0" w:color="FFFFFF"/>
            <w:left w:val="none" w:sz="0" w:space="0" w:color="FFFFFF"/>
            <w:bottom w:val="none" w:sz="0" w:space="0" w:color="FFFFFF"/>
            <w:right w:val="none" w:sz="0" w:space="0" w:color="FFFFFF"/>
          </w:divBdr>
        </w:div>
        <w:div w:id="1146358924">
          <w:marLeft w:val="0"/>
          <w:marRight w:val="0"/>
          <w:marTop w:val="60"/>
          <w:marBottom w:val="60"/>
          <w:divBdr>
            <w:top w:val="none" w:sz="0" w:space="0" w:color="FFFFFF"/>
            <w:left w:val="none" w:sz="0" w:space="0" w:color="FFFFFF"/>
            <w:bottom w:val="none" w:sz="0" w:space="0" w:color="FFFFFF"/>
            <w:right w:val="none" w:sz="0" w:space="0" w:color="FFFFFF"/>
          </w:divBdr>
        </w:div>
        <w:div w:id="1684166844">
          <w:marLeft w:val="0"/>
          <w:marRight w:val="0"/>
          <w:marTop w:val="60"/>
          <w:marBottom w:val="60"/>
          <w:divBdr>
            <w:top w:val="none" w:sz="0" w:space="0" w:color="FFFFFF"/>
            <w:left w:val="none" w:sz="0" w:space="0" w:color="FFFFFF"/>
            <w:bottom w:val="none" w:sz="0" w:space="0" w:color="FFFFFF"/>
            <w:right w:val="none" w:sz="0" w:space="0" w:color="FFFFFF"/>
          </w:divBdr>
        </w:div>
        <w:div w:id="899634497">
          <w:marLeft w:val="0"/>
          <w:marRight w:val="0"/>
          <w:marTop w:val="60"/>
          <w:marBottom w:val="60"/>
          <w:divBdr>
            <w:top w:val="none" w:sz="0" w:space="0" w:color="FFFFFF"/>
            <w:left w:val="none" w:sz="0" w:space="0" w:color="FFFFFF"/>
            <w:bottom w:val="none" w:sz="0" w:space="0" w:color="FFFFFF"/>
            <w:right w:val="none" w:sz="0" w:space="0" w:color="FFFFFF"/>
          </w:divBdr>
        </w:div>
        <w:div w:id="2128162737">
          <w:marLeft w:val="0"/>
          <w:marRight w:val="0"/>
          <w:marTop w:val="60"/>
          <w:marBottom w:val="60"/>
          <w:divBdr>
            <w:top w:val="none" w:sz="0" w:space="0" w:color="FFFFFF"/>
            <w:left w:val="none" w:sz="0" w:space="0" w:color="FFFFFF"/>
            <w:bottom w:val="none" w:sz="0" w:space="0" w:color="FFFFFF"/>
            <w:right w:val="none" w:sz="0" w:space="0" w:color="FFFFFF"/>
          </w:divBdr>
          <w:divsChild>
            <w:div w:id="2054113081">
              <w:marLeft w:val="240"/>
              <w:marRight w:val="0"/>
              <w:marTop w:val="0"/>
              <w:marBottom w:val="0"/>
              <w:divBdr>
                <w:top w:val="none" w:sz="0" w:space="0" w:color="auto"/>
                <w:left w:val="none" w:sz="0" w:space="0" w:color="auto"/>
                <w:bottom w:val="none" w:sz="0" w:space="0" w:color="auto"/>
                <w:right w:val="none" w:sz="0" w:space="0" w:color="auto"/>
              </w:divBdr>
            </w:div>
          </w:divsChild>
        </w:div>
        <w:div w:id="1136531710">
          <w:marLeft w:val="0"/>
          <w:marRight w:val="0"/>
          <w:marTop w:val="60"/>
          <w:marBottom w:val="60"/>
          <w:divBdr>
            <w:top w:val="none" w:sz="0" w:space="0" w:color="FFFFFF"/>
            <w:left w:val="none" w:sz="0" w:space="0" w:color="FFFFFF"/>
            <w:bottom w:val="none" w:sz="0" w:space="0" w:color="FFFFFF"/>
            <w:right w:val="none" w:sz="0" w:space="0" w:color="FFFFFF"/>
          </w:divBdr>
          <w:divsChild>
            <w:div w:id="1774861168">
              <w:marLeft w:val="0"/>
              <w:marRight w:val="0"/>
              <w:marTop w:val="0"/>
              <w:marBottom w:val="0"/>
              <w:divBdr>
                <w:top w:val="none" w:sz="0" w:space="0" w:color="auto"/>
                <w:left w:val="none" w:sz="0" w:space="0" w:color="auto"/>
                <w:bottom w:val="none" w:sz="0" w:space="0" w:color="auto"/>
                <w:right w:val="none" w:sz="0" w:space="0" w:color="auto"/>
              </w:divBdr>
              <w:divsChild>
                <w:div w:id="1638334630">
                  <w:marLeft w:val="0"/>
                  <w:marRight w:val="0"/>
                  <w:marTop w:val="0"/>
                  <w:marBottom w:val="0"/>
                  <w:divBdr>
                    <w:top w:val="none" w:sz="0" w:space="0" w:color="auto"/>
                    <w:left w:val="none" w:sz="0" w:space="0" w:color="auto"/>
                    <w:bottom w:val="none" w:sz="0" w:space="0" w:color="auto"/>
                    <w:right w:val="none" w:sz="0" w:space="0" w:color="auto"/>
                  </w:divBdr>
                  <w:divsChild>
                    <w:div w:id="470556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1803">
          <w:marLeft w:val="0"/>
          <w:marRight w:val="0"/>
          <w:marTop w:val="60"/>
          <w:marBottom w:val="60"/>
          <w:divBdr>
            <w:top w:val="none" w:sz="0" w:space="0" w:color="FFFFFF"/>
            <w:left w:val="none" w:sz="0" w:space="0" w:color="FFFFFF"/>
            <w:bottom w:val="none" w:sz="0" w:space="0" w:color="FFFFFF"/>
            <w:right w:val="none" w:sz="0" w:space="0" w:color="FFFFFF"/>
          </w:divBdr>
          <w:divsChild>
            <w:div w:id="1878002604">
              <w:marLeft w:val="240"/>
              <w:marRight w:val="0"/>
              <w:marTop w:val="0"/>
              <w:marBottom w:val="0"/>
              <w:divBdr>
                <w:top w:val="none" w:sz="0" w:space="0" w:color="auto"/>
                <w:left w:val="none" w:sz="0" w:space="0" w:color="auto"/>
                <w:bottom w:val="none" w:sz="0" w:space="0" w:color="auto"/>
                <w:right w:val="none" w:sz="0" w:space="0" w:color="auto"/>
              </w:divBdr>
            </w:div>
            <w:div w:id="1314069517">
              <w:marLeft w:val="450"/>
              <w:marRight w:val="0"/>
              <w:marTop w:val="75"/>
              <w:marBottom w:val="75"/>
              <w:divBdr>
                <w:top w:val="none" w:sz="0" w:space="0" w:color="auto"/>
                <w:left w:val="none" w:sz="0" w:space="0" w:color="auto"/>
                <w:bottom w:val="none" w:sz="0" w:space="0" w:color="auto"/>
                <w:right w:val="none" w:sz="0" w:space="0" w:color="auto"/>
              </w:divBdr>
              <w:divsChild>
                <w:div w:id="215161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230743">
          <w:marLeft w:val="0"/>
          <w:marRight w:val="0"/>
          <w:marTop w:val="60"/>
          <w:marBottom w:val="60"/>
          <w:divBdr>
            <w:top w:val="none" w:sz="0" w:space="0" w:color="FFFFFF"/>
            <w:left w:val="none" w:sz="0" w:space="0" w:color="FFFFFF"/>
            <w:bottom w:val="none" w:sz="0" w:space="0" w:color="FFFFFF"/>
            <w:right w:val="none" w:sz="0" w:space="0" w:color="FFFFFF"/>
          </w:divBdr>
        </w:div>
        <w:div w:id="2147043286">
          <w:marLeft w:val="0"/>
          <w:marRight w:val="0"/>
          <w:marTop w:val="60"/>
          <w:marBottom w:val="60"/>
          <w:divBdr>
            <w:top w:val="none" w:sz="0" w:space="0" w:color="FFFFFF"/>
            <w:left w:val="none" w:sz="0" w:space="0" w:color="FFFFFF"/>
            <w:bottom w:val="none" w:sz="0" w:space="0" w:color="FFFFFF"/>
            <w:right w:val="none" w:sz="0" w:space="0" w:color="FFFFFF"/>
          </w:divBdr>
        </w:div>
        <w:div w:id="605697493">
          <w:marLeft w:val="0"/>
          <w:marRight w:val="0"/>
          <w:marTop w:val="60"/>
          <w:marBottom w:val="60"/>
          <w:divBdr>
            <w:top w:val="none" w:sz="0" w:space="0" w:color="FFFFFF"/>
            <w:left w:val="none" w:sz="0" w:space="0" w:color="FFFFFF"/>
            <w:bottom w:val="none" w:sz="0" w:space="0" w:color="FFFFFF"/>
            <w:right w:val="none" w:sz="0" w:space="0" w:color="FFFFFF"/>
          </w:divBdr>
          <w:divsChild>
            <w:div w:id="1615014362">
              <w:marLeft w:val="450"/>
              <w:marRight w:val="0"/>
              <w:marTop w:val="75"/>
              <w:marBottom w:val="75"/>
              <w:divBdr>
                <w:top w:val="none" w:sz="0" w:space="0" w:color="auto"/>
                <w:left w:val="none" w:sz="0" w:space="0" w:color="auto"/>
                <w:bottom w:val="none" w:sz="0" w:space="0" w:color="auto"/>
                <w:right w:val="none" w:sz="0" w:space="0" w:color="auto"/>
              </w:divBdr>
              <w:divsChild>
                <w:div w:id="4804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876091">
          <w:marLeft w:val="0"/>
          <w:marRight w:val="0"/>
          <w:marTop w:val="60"/>
          <w:marBottom w:val="60"/>
          <w:divBdr>
            <w:top w:val="none" w:sz="0" w:space="0" w:color="FFFFFF"/>
            <w:left w:val="none" w:sz="0" w:space="0" w:color="FFFFFF"/>
            <w:bottom w:val="none" w:sz="0" w:space="0" w:color="FFFFFF"/>
            <w:right w:val="none" w:sz="0" w:space="0" w:color="FFFFFF"/>
          </w:divBdr>
          <w:divsChild>
            <w:div w:id="1256940881">
              <w:marLeft w:val="240"/>
              <w:marRight w:val="0"/>
              <w:marTop w:val="0"/>
              <w:marBottom w:val="0"/>
              <w:divBdr>
                <w:top w:val="none" w:sz="0" w:space="0" w:color="auto"/>
                <w:left w:val="none" w:sz="0" w:space="0" w:color="auto"/>
                <w:bottom w:val="none" w:sz="0" w:space="0" w:color="auto"/>
                <w:right w:val="none" w:sz="0" w:space="0" w:color="auto"/>
              </w:divBdr>
            </w:div>
          </w:divsChild>
        </w:div>
        <w:div w:id="576748180">
          <w:marLeft w:val="0"/>
          <w:marRight w:val="0"/>
          <w:marTop w:val="60"/>
          <w:marBottom w:val="60"/>
          <w:divBdr>
            <w:top w:val="none" w:sz="0" w:space="0" w:color="FFFFFF"/>
            <w:left w:val="none" w:sz="0" w:space="0" w:color="FFFFFF"/>
            <w:bottom w:val="none" w:sz="0" w:space="0" w:color="FFFFFF"/>
            <w:right w:val="none" w:sz="0" w:space="0" w:color="FFFFFF"/>
          </w:divBdr>
        </w:div>
        <w:div w:id="1979065814">
          <w:marLeft w:val="0"/>
          <w:marRight w:val="0"/>
          <w:marTop w:val="60"/>
          <w:marBottom w:val="60"/>
          <w:divBdr>
            <w:top w:val="none" w:sz="0" w:space="0" w:color="FFFFFF"/>
            <w:left w:val="none" w:sz="0" w:space="0" w:color="FFFFFF"/>
            <w:bottom w:val="none" w:sz="0" w:space="0" w:color="FFFFFF"/>
            <w:right w:val="none" w:sz="0" w:space="0" w:color="FFFFFF"/>
          </w:divBdr>
          <w:divsChild>
            <w:div w:id="716704662">
              <w:marLeft w:val="450"/>
              <w:marRight w:val="0"/>
              <w:marTop w:val="75"/>
              <w:marBottom w:val="75"/>
              <w:divBdr>
                <w:top w:val="none" w:sz="0" w:space="0" w:color="auto"/>
                <w:left w:val="none" w:sz="0" w:space="0" w:color="auto"/>
                <w:bottom w:val="none" w:sz="0" w:space="0" w:color="auto"/>
                <w:right w:val="none" w:sz="0" w:space="0" w:color="auto"/>
              </w:divBdr>
              <w:divsChild>
                <w:div w:id="9826130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0845899">
          <w:marLeft w:val="0"/>
          <w:marRight w:val="0"/>
          <w:marTop w:val="60"/>
          <w:marBottom w:val="60"/>
          <w:divBdr>
            <w:top w:val="none" w:sz="0" w:space="0" w:color="FFFFFF"/>
            <w:left w:val="none" w:sz="0" w:space="0" w:color="FFFFFF"/>
            <w:bottom w:val="none" w:sz="0" w:space="0" w:color="FFFFFF"/>
            <w:right w:val="none" w:sz="0" w:space="0" w:color="FFFFFF"/>
          </w:divBdr>
          <w:divsChild>
            <w:div w:id="267271684">
              <w:marLeft w:val="240"/>
              <w:marRight w:val="0"/>
              <w:marTop w:val="0"/>
              <w:marBottom w:val="0"/>
              <w:divBdr>
                <w:top w:val="none" w:sz="0" w:space="0" w:color="auto"/>
                <w:left w:val="none" w:sz="0" w:space="0" w:color="auto"/>
                <w:bottom w:val="none" w:sz="0" w:space="0" w:color="auto"/>
                <w:right w:val="none" w:sz="0" w:space="0" w:color="auto"/>
              </w:divBdr>
            </w:div>
          </w:divsChild>
        </w:div>
        <w:div w:id="826825048">
          <w:marLeft w:val="0"/>
          <w:marRight w:val="0"/>
          <w:marTop w:val="60"/>
          <w:marBottom w:val="60"/>
          <w:divBdr>
            <w:top w:val="none" w:sz="0" w:space="0" w:color="FFFFFF"/>
            <w:left w:val="none" w:sz="0" w:space="0" w:color="FFFFFF"/>
            <w:bottom w:val="none" w:sz="0" w:space="0" w:color="FFFFFF"/>
            <w:right w:val="none" w:sz="0" w:space="0" w:color="FFFFFF"/>
          </w:divBdr>
          <w:divsChild>
            <w:div w:id="1605727421">
              <w:marLeft w:val="0"/>
              <w:marRight w:val="0"/>
              <w:marTop w:val="0"/>
              <w:marBottom w:val="0"/>
              <w:divBdr>
                <w:top w:val="none" w:sz="0" w:space="0" w:color="auto"/>
                <w:left w:val="none" w:sz="0" w:space="0" w:color="auto"/>
                <w:bottom w:val="none" w:sz="0" w:space="0" w:color="auto"/>
                <w:right w:val="none" w:sz="0" w:space="0" w:color="auto"/>
              </w:divBdr>
              <w:divsChild>
                <w:div w:id="1462334791">
                  <w:marLeft w:val="0"/>
                  <w:marRight w:val="0"/>
                  <w:marTop w:val="0"/>
                  <w:marBottom w:val="0"/>
                  <w:divBdr>
                    <w:top w:val="none" w:sz="0" w:space="0" w:color="auto"/>
                    <w:left w:val="none" w:sz="0" w:space="0" w:color="auto"/>
                    <w:bottom w:val="none" w:sz="0" w:space="0" w:color="auto"/>
                    <w:right w:val="none" w:sz="0" w:space="0" w:color="auto"/>
                  </w:divBdr>
                  <w:divsChild>
                    <w:div w:id="21245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8223">
          <w:marLeft w:val="0"/>
          <w:marRight w:val="0"/>
          <w:marTop w:val="60"/>
          <w:marBottom w:val="60"/>
          <w:divBdr>
            <w:top w:val="none" w:sz="0" w:space="0" w:color="FFFFFF"/>
            <w:left w:val="none" w:sz="0" w:space="0" w:color="FFFFFF"/>
            <w:bottom w:val="none" w:sz="0" w:space="0" w:color="FFFFFF"/>
            <w:right w:val="none" w:sz="0" w:space="0" w:color="FFFFFF"/>
          </w:divBdr>
        </w:div>
        <w:div w:id="1267813797">
          <w:marLeft w:val="0"/>
          <w:marRight w:val="0"/>
          <w:marTop w:val="60"/>
          <w:marBottom w:val="60"/>
          <w:divBdr>
            <w:top w:val="none" w:sz="0" w:space="0" w:color="FFFFFF"/>
            <w:left w:val="none" w:sz="0" w:space="0" w:color="FFFFFF"/>
            <w:bottom w:val="none" w:sz="0" w:space="0" w:color="FFFFFF"/>
            <w:right w:val="none" w:sz="0" w:space="0" w:color="FFFFFF"/>
          </w:divBdr>
        </w:div>
        <w:div w:id="1394892462">
          <w:marLeft w:val="0"/>
          <w:marRight w:val="0"/>
          <w:marTop w:val="60"/>
          <w:marBottom w:val="60"/>
          <w:divBdr>
            <w:top w:val="none" w:sz="0" w:space="0" w:color="FFFFFF"/>
            <w:left w:val="none" w:sz="0" w:space="0" w:color="FFFFFF"/>
            <w:bottom w:val="none" w:sz="0" w:space="0" w:color="FFFFFF"/>
            <w:right w:val="none" w:sz="0" w:space="0" w:color="FFFFFF"/>
          </w:divBdr>
        </w:div>
        <w:div w:id="1575627696">
          <w:marLeft w:val="0"/>
          <w:marRight w:val="0"/>
          <w:marTop w:val="60"/>
          <w:marBottom w:val="60"/>
          <w:divBdr>
            <w:top w:val="none" w:sz="0" w:space="0" w:color="FFFFFF"/>
            <w:left w:val="none" w:sz="0" w:space="0" w:color="FFFFFF"/>
            <w:bottom w:val="none" w:sz="0" w:space="0" w:color="FFFFFF"/>
            <w:right w:val="none" w:sz="0" w:space="0" w:color="FFFFFF"/>
          </w:divBdr>
        </w:div>
        <w:div w:id="417100059">
          <w:marLeft w:val="0"/>
          <w:marRight w:val="0"/>
          <w:marTop w:val="60"/>
          <w:marBottom w:val="60"/>
          <w:divBdr>
            <w:top w:val="none" w:sz="0" w:space="0" w:color="FFFFFF"/>
            <w:left w:val="none" w:sz="0" w:space="0" w:color="FFFFFF"/>
            <w:bottom w:val="none" w:sz="0" w:space="0" w:color="FFFFFF"/>
            <w:right w:val="none" w:sz="0" w:space="0" w:color="FFFFFF"/>
          </w:divBdr>
        </w:div>
        <w:div w:id="62488408">
          <w:marLeft w:val="0"/>
          <w:marRight w:val="0"/>
          <w:marTop w:val="60"/>
          <w:marBottom w:val="60"/>
          <w:divBdr>
            <w:top w:val="none" w:sz="0" w:space="0" w:color="FFFFFF"/>
            <w:left w:val="none" w:sz="0" w:space="0" w:color="FFFFFF"/>
            <w:bottom w:val="none" w:sz="0" w:space="0" w:color="FFFFFF"/>
            <w:right w:val="none" w:sz="0" w:space="0" w:color="FFFFFF"/>
          </w:divBdr>
        </w:div>
        <w:div w:id="120999284">
          <w:marLeft w:val="0"/>
          <w:marRight w:val="0"/>
          <w:marTop w:val="60"/>
          <w:marBottom w:val="60"/>
          <w:divBdr>
            <w:top w:val="none" w:sz="0" w:space="0" w:color="FFFFFF"/>
            <w:left w:val="none" w:sz="0" w:space="0" w:color="FFFFFF"/>
            <w:bottom w:val="none" w:sz="0" w:space="0" w:color="FFFFFF"/>
            <w:right w:val="none" w:sz="0" w:space="0" w:color="FFFFFF"/>
          </w:divBdr>
        </w:div>
        <w:div w:id="211576172">
          <w:marLeft w:val="0"/>
          <w:marRight w:val="0"/>
          <w:marTop w:val="60"/>
          <w:marBottom w:val="60"/>
          <w:divBdr>
            <w:top w:val="none" w:sz="0" w:space="0" w:color="0B5940"/>
            <w:left w:val="none" w:sz="0" w:space="0" w:color="0B5940"/>
            <w:bottom w:val="none" w:sz="0" w:space="0" w:color="0B5940"/>
            <w:right w:val="none" w:sz="0" w:space="0" w:color="0B5940"/>
          </w:divBdr>
        </w:div>
        <w:div w:id="329140838">
          <w:marLeft w:val="0"/>
          <w:marRight w:val="0"/>
          <w:marTop w:val="60"/>
          <w:marBottom w:val="60"/>
          <w:divBdr>
            <w:top w:val="none" w:sz="0" w:space="0" w:color="FFFFFF"/>
            <w:left w:val="none" w:sz="0" w:space="0" w:color="FFFFFF"/>
            <w:bottom w:val="none" w:sz="0" w:space="0" w:color="FFFFFF"/>
            <w:right w:val="none" w:sz="0" w:space="0" w:color="FFFFFF"/>
          </w:divBdr>
        </w:div>
        <w:div w:id="1589920978">
          <w:marLeft w:val="0"/>
          <w:marRight w:val="0"/>
          <w:marTop w:val="60"/>
          <w:marBottom w:val="60"/>
          <w:divBdr>
            <w:top w:val="none" w:sz="0" w:space="0" w:color="FFFFFF"/>
            <w:left w:val="none" w:sz="0" w:space="0" w:color="FFFFFF"/>
            <w:bottom w:val="none" w:sz="0" w:space="0" w:color="FFFFFF"/>
            <w:right w:val="none" w:sz="0" w:space="0" w:color="FFFFFF"/>
          </w:divBdr>
          <w:divsChild>
            <w:div w:id="1208683253">
              <w:marLeft w:val="0"/>
              <w:marRight w:val="0"/>
              <w:marTop w:val="120"/>
              <w:marBottom w:val="0"/>
              <w:divBdr>
                <w:top w:val="none" w:sz="0" w:space="0" w:color="auto"/>
                <w:left w:val="none" w:sz="0" w:space="0" w:color="auto"/>
                <w:bottom w:val="none" w:sz="0" w:space="0" w:color="auto"/>
                <w:right w:val="none" w:sz="0" w:space="0" w:color="auto"/>
              </w:divBdr>
            </w:div>
            <w:div w:id="170151640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198932899">
      <w:bodyDiv w:val="1"/>
      <w:marLeft w:val="0"/>
      <w:marRight w:val="0"/>
      <w:marTop w:val="0"/>
      <w:marBottom w:val="0"/>
      <w:divBdr>
        <w:top w:val="none" w:sz="0" w:space="0" w:color="auto"/>
        <w:left w:val="none" w:sz="0" w:space="0" w:color="auto"/>
        <w:bottom w:val="none" w:sz="0" w:space="0" w:color="auto"/>
        <w:right w:val="none" w:sz="0" w:space="0" w:color="auto"/>
      </w:divBdr>
      <w:divsChild>
        <w:div w:id="847669717">
          <w:marLeft w:val="0"/>
          <w:marRight w:val="0"/>
          <w:marTop w:val="0"/>
          <w:marBottom w:val="0"/>
          <w:divBdr>
            <w:top w:val="none" w:sz="0" w:space="0" w:color="auto"/>
            <w:left w:val="none" w:sz="0" w:space="0" w:color="auto"/>
            <w:bottom w:val="none" w:sz="0" w:space="0" w:color="auto"/>
            <w:right w:val="none" w:sz="0" w:space="0" w:color="auto"/>
          </w:divBdr>
        </w:div>
        <w:div w:id="795677246">
          <w:marLeft w:val="0"/>
          <w:marRight w:val="0"/>
          <w:marTop w:val="0"/>
          <w:marBottom w:val="0"/>
          <w:divBdr>
            <w:top w:val="none" w:sz="0" w:space="0" w:color="auto"/>
            <w:left w:val="none" w:sz="0" w:space="0" w:color="auto"/>
            <w:bottom w:val="none" w:sz="0" w:space="0" w:color="auto"/>
            <w:right w:val="none" w:sz="0" w:space="0" w:color="auto"/>
          </w:divBdr>
        </w:div>
        <w:div w:id="1478037383">
          <w:marLeft w:val="0"/>
          <w:marRight w:val="0"/>
          <w:marTop w:val="0"/>
          <w:marBottom w:val="0"/>
          <w:divBdr>
            <w:top w:val="none" w:sz="0" w:space="0" w:color="auto"/>
            <w:left w:val="none" w:sz="0" w:space="0" w:color="auto"/>
            <w:bottom w:val="none" w:sz="0" w:space="0" w:color="auto"/>
            <w:right w:val="none" w:sz="0" w:space="0" w:color="auto"/>
          </w:divBdr>
        </w:div>
      </w:divsChild>
    </w:div>
    <w:div w:id="1698508721">
      <w:bodyDiv w:val="1"/>
      <w:marLeft w:val="0"/>
      <w:marRight w:val="0"/>
      <w:marTop w:val="0"/>
      <w:marBottom w:val="0"/>
      <w:divBdr>
        <w:top w:val="none" w:sz="0" w:space="0" w:color="auto"/>
        <w:left w:val="none" w:sz="0" w:space="0" w:color="auto"/>
        <w:bottom w:val="none" w:sz="0" w:space="0" w:color="auto"/>
        <w:right w:val="none" w:sz="0" w:space="0" w:color="auto"/>
      </w:divBdr>
      <w:divsChild>
        <w:div w:id="252279123">
          <w:marLeft w:val="0"/>
          <w:marRight w:val="0"/>
          <w:marTop w:val="60"/>
          <w:marBottom w:val="60"/>
          <w:divBdr>
            <w:top w:val="none" w:sz="0" w:space="0" w:color="FFFFFF"/>
            <w:left w:val="none" w:sz="0" w:space="0" w:color="FFFFFF"/>
            <w:bottom w:val="none" w:sz="0" w:space="0" w:color="FFFFFF"/>
            <w:right w:val="none" w:sz="0" w:space="0" w:color="FFFFFF"/>
          </w:divBdr>
          <w:divsChild>
            <w:div w:id="1458331939">
              <w:marLeft w:val="450"/>
              <w:marRight w:val="0"/>
              <w:marTop w:val="75"/>
              <w:marBottom w:val="75"/>
              <w:divBdr>
                <w:top w:val="none" w:sz="0" w:space="0" w:color="auto"/>
                <w:left w:val="none" w:sz="0" w:space="0" w:color="auto"/>
                <w:bottom w:val="none" w:sz="0" w:space="0" w:color="auto"/>
                <w:right w:val="none" w:sz="0" w:space="0" w:color="auto"/>
              </w:divBdr>
              <w:divsChild>
                <w:div w:id="172764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831292">
          <w:marLeft w:val="0"/>
          <w:marRight w:val="0"/>
          <w:marTop w:val="60"/>
          <w:marBottom w:val="60"/>
          <w:divBdr>
            <w:top w:val="none" w:sz="0" w:space="0" w:color="FFFFFF"/>
            <w:left w:val="none" w:sz="0" w:space="0" w:color="FFFFFF"/>
            <w:bottom w:val="none" w:sz="0" w:space="0" w:color="FFFFFF"/>
            <w:right w:val="none" w:sz="0" w:space="0" w:color="FFFFFF"/>
          </w:divBdr>
          <w:divsChild>
            <w:div w:id="609900164">
              <w:marLeft w:val="240"/>
              <w:marRight w:val="0"/>
              <w:marTop w:val="0"/>
              <w:marBottom w:val="0"/>
              <w:divBdr>
                <w:top w:val="none" w:sz="0" w:space="0" w:color="auto"/>
                <w:left w:val="none" w:sz="0" w:space="0" w:color="auto"/>
                <w:bottom w:val="none" w:sz="0" w:space="0" w:color="auto"/>
                <w:right w:val="none" w:sz="0" w:space="0" w:color="auto"/>
              </w:divBdr>
            </w:div>
            <w:div w:id="321204101">
              <w:marLeft w:val="240"/>
              <w:marRight w:val="0"/>
              <w:marTop w:val="0"/>
              <w:marBottom w:val="0"/>
              <w:divBdr>
                <w:top w:val="none" w:sz="0" w:space="0" w:color="auto"/>
                <w:left w:val="none" w:sz="0" w:space="0" w:color="auto"/>
                <w:bottom w:val="none" w:sz="0" w:space="0" w:color="auto"/>
                <w:right w:val="none" w:sz="0" w:space="0" w:color="auto"/>
              </w:divBdr>
            </w:div>
          </w:divsChild>
        </w:div>
        <w:div w:id="1031344224">
          <w:marLeft w:val="0"/>
          <w:marRight w:val="0"/>
          <w:marTop w:val="60"/>
          <w:marBottom w:val="60"/>
          <w:divBdr>
            <w:top w:val="none" w:sz="0" w:space="0" w:color="FFFFFF"/>
            <w:left w:val="none" w:sz="0" w:space="0" w:color="FFFFFF"/>
            <w:bottom w:val="none" w:sz="0" w:space="0" w:color="FFFFFF"/>
            <w:right w:val="none" w:sz="0" w:space="0" w:color="FFFFFF"/>
          </w:divBdr>
          <w:divsChild>
            <w:div w:id="62684290">
              <w:marLeft w:val="0"/>
              <w:marRight w:val="0"/>
              <w:marTop w:val="0"/>
              <w:marBottom w:val="0"/>
              <w:divBdr>
                <w:top w:val="none" w:sz="0" w:space="0" w:color="auto"/>
                <w:left w:val="none" w:sz="0" w:space="0" w:color="auto"/>
                <w:bottom w:val="none" w:sz="0" w:space="0" w:color="auto"/>
                <w:right w:val="none" w:sz="0" w:space="0" w:color="auto"/>
              </w:divBdr>
              <w:divsChild>
                <w:div w:id="1916473502">
                  <w:marLeft w:val="0"/>
                  <w:marRight w:val="0"/>
                  <w:marTop w:val="0"/>
                  <w:marBottom w:val="0"/>
                  <w:divBdr>
                    <w:top w:val="none" w:sz="0" w:space="0" w:color="auto"/>
                    <w:left w:val="none" w:sz="0" w:space="0" w:color="auto"/>
                    <w:bottom w:val="none" w:sz="0" w:space="0" w:color="auto"/>
                    <w:right w:val="none" w:sz="0" w:space="0" w:color="auto"/>
                  </w:divBdr>
                  <w:divsChild>
                    <w:div w:id="1262028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930">
          <w:marLeft w:val="0"/>
          <w:marRight w:val="0"/>
          <w:marTop w:val="60"/>
          <w:marBottom w:val="60"/>
          <w:divBdr>
            <w:top w:val="none" w:sz="0" w:space="0" w:color="FFFFFF"/>
            <w:left w:val="none" w:sz="0" w:space="0" w:color="FFFFFF"/>
            <w:bottom w:val="none" w:sz="0" w:space="0" w:color="FFFFFF"/>
            <w:right w:val="none" w:sz="0" w:space="0" w:color="FFFFFF"/>
          </w:divBdr>
        </w:div>
        <w:div w:id="1891651466">
          <w:marLeft w:val="0"/>
          <w:marRight w:val="0"/>
          <w:marTop w:val="60"/>
          <w:marBottom w:val="60"/>
          <w:divBdr>
            <w:top w:val="none" w:sz="0" w:space="0" w:color="FFFFFF"/>
            <w:left w:val="none" w:sz="0" w:space="0" w:color="FFFFFF"/>
            <w:bottom w:val="none" w:sz="0" w:space="0" w:color="FFFFFF"/>
            <w:right w:val="none" w:sz="0" w:space="0" w:color="FFFFFF"/>
          </w:divBdr>
        </w:div>
        <w:div w:id="2028829734">
          <w:marLeft w:val="0"/>
          <w:marRight w:val="0"/>
          <w:marTop w:val="60"/>
          <w:marBottom w:val="60"/>
          <w:divBdr>
            <w:top w:val="none" w:sz="0" w:space="0" w:color="FFFFFF"/>
            <w:left w:val="none" w:sz="0" w:space="0" w:color="FFFFFF"/>
            <w:bottom w:val="none" w:sz="0" w:space="0" w:color="FFFFFF"/>
            <w:right w:val="none" w:sz="0" w:space="0" w:color="FFFFFF"/>
          </w:divBdr>
        </w:div>
        <w:div w:id="1965966133">
          <w:marLeft w:val="0"/>
          <w:marRight w:val="0"/>
          <w:marTop w:val="60"/>
          <w:marBottom w:val="60"/>
          <w:divBdr>
            <w:top w:val="none" w:sz="0" w:space="0" w:color="FFFFFF"/>
            <w:left w:val="none" w:sz="0" w:space="0" w:color="FFFFFF"/>
            <w:bottom w:val="none" w:sz="0" w:space="0" w:color="FFFFFF"/>
            <w:right w:val="none" w:sz="0" w:space="0" w:color="FFFFFF"/>
          </w:divBdr>
        </w:div>
        <w:div w:id="1622034880">
          <w:marLeft w:val="0"/>
          <w:marRight w:val="0"/>
          <w:marTop w:val="60"/>
          <w:marBottom w:val="60"/>
          <w:divBdr>
            <w:top w:val="none" w:sz="0" w:space="0" w:color="FFFFFF"/>
            <w:left w:val="none" w:sz="0" w:space="0" w:color="FFFFFF"/>
            <w:bottom w:val="none" w:sz="0" w:space="0" w:color="FFFFFF"/>
            <w:right w:val="none" w:sz="0" w:space="0" w:color="FFFFFF"/>
          </w:divBdr>
        </w:div>
        <w:div w:id="1904364218">
          <w:marLeft w:val="0"/>
          <w:marRight w:val="0"/>
          <w:marTop w:val="60"/>
          <w:marBottom w:val="60"/>
          <w:divBdr>
            <w:top w:val="none" w:sz="0" w:space="0" w:color="FFFFFF"/>
            <w:left w:val="none" w:sz="0" w:space="0" w:color="FFFFFF"/>
            <w:bottom w:val="none" w:sz="0" w:space="0" w:color="FFFFFF"/>
            <w:right w:val="none" w:sz="0" w:space="0" w:color="FFFFFF"/>
          </w:divBdr>
        </w:div>
        <w:div w:id="1110662913">
          <w:marLeft w:val="0"/>
          <w:marRight w:val="0"/>
          <w:marTop w:val="60"/>
          <w:marBottom w:val="60"/>
          <w:divBdr>
            <w:top w:val="none" w:sz="0" w:space="0" w:color="FFFFFF"/>
            <w:left w:val="none" w:sz="0" w:space="0" w:color="FFFFFF"/>
            <w:bottom w:val="none" w:sz="0" w:space="0" w:color="FFFFFF"/>
            <w:right w:val="none" w:sz="0" w:space="0" w:color="FFFFFF"/>
          </w:divBdr>
          <w:divsChild>
            <w:div w:id="1691834055">
              <w:marLeft w:val="240"/>
              <w:marRight w:val="0"/>
              <w:marTop w:val="0"/>
              <w:marBottom w:val="0"/>
              <w:divBdr>
                <w:top w:val="none" w:sz="0" w:space="0" w:color="auto"/>
                <w:left w:val="none" w:sz="0" w:space="0" w:color="auto"/>
                <w:bottom w:val="none" w:sz="0" w:space="0" w:color="auto"/>
                <w:right w:val="none" w:sz="0" w:space="0" w:color="auto"/>
              </w:divBdr>
            </w:div>
          </w:divsChild>
        </w:div>
        <w:div w:id="1051151902">
          <w:marLeft w:val="0"/>
          <w:marRight w:val="0"/>
          <w:marTop w:val="60"/>
          <w:marBottom w:val="60"/>
          <w:divBdr>
            <w:top w:val="none" w:sz="0" w:space="0" w:color="FFFFFF"/>
            <w:left w:val="none" w:sz="0" w:space="0" w:color="FFFFFF"/>
            <w:bottom w:val="none" w:sz="0" w:space="0" w:color="FFFFFF"/>
            <w:right w:val="none" w:sz="0" w:space="0" w:color="FFFFFF"/>
          </w:divBdr>
          <w:divsChild>
            <w:div w:id="1737236671">
              <w:marLeft w:val="0"/>
              <w:marRight w:val="0"/>
              <w:marTop w:val="0"/>
              <w:marBottom w:val="0"/>
              <w:divBdr>
                <w:top w:val="none" w:sz="0" w:space="0" w:color="auto"/>
                <w:left w:val="none" w:sz="0" w:space="0" w:color="auto"/>
                <w:bottom w:val="none" w:sz="0" w:space="0" w:color="auto"/>
                <w:right w:val="none" w:sz="0" w:space="0" w:color="auto"/>
              </w:divBdr>
              <w:divsChild>
                <w:div w:id="1228223601">
                  <w:marLeft w:val="0"/>
                  <w:marRight w:val="0"/>
                  <w:marTop w:val="0"/>
                  <w:marBottom w:val="0"/>
                  <w:divBdr>
                    <w:top w:val="none" w:sz="0" w:space="0" w:color="auto"/>
                    <w:left w:val="none" w:sz="0" w:space="0" w:color="auto"/>
                    <w:bottom w:val="none" w:sz="0" w:space="0" w:color="auto"/>
                    <w:right w:val="none" w:sz="0" w:space="0" w:color="auto"/>
                  </w:divBdr>
                  <w:divsChild>
                    <w:div w:id="95093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616">
          <w:marLeft w:val="0"/>
          <w:marRight w:val="0"/>
          <w:marTop w:val="60"/>
          <w:marBottom w:val="60"/>
          <w:divBdr>
            <w:top w:val="none" w:sz="0" w:space="0" w:color="FFFFFF"/>
            <w:left w:val="none" w:sz="0" w:space="0" w:color="FFFFFF"/>
            <w:bottom w:val="none" w:sz="0" w:space="0" w:color="FFFFFF"/>
            <w:right w:val="none" w:sz="0" w:space="0" w:color="FFFFFF"/>
          </w:divBdr>
          <w:divsChild>
            <w:div w:id="790897494">
              <w:marLeft w:val="240"/>
              <w:marRight w:val="0"/>
              <w:marTop w:val="0"/>
              <w:marBottom w:val="0"/>
              <w:divBdr>
                <w:top w:val="none" w:sz="0" w:space="0" w:color="auto"/>
                <w:left w:val="none" w:sz="0" w:space="0" w:color="auto"/>
                <w:bottom w:val="none" w:sz="0" w:space="0" w:color="auto"/>
                <w:right w:val="none" w:sz="0" w:space="0" w:color="auto"/>
              </w:divBdr>
            </w:div>
            <w:div w:id="630138005">
              <w:marLeft w:val="450"/>
              <w:marRight w:val="0"/>
              <w:marTop w:val="75"/>
              <w:marBottom w:val="75"/>
              <w:divBdr>
                <w:top w:val="none" w:sz="0" w:space="0" w:color="auto"/>
                <w:left w:val="none" w:sz="0" w:space="0" w:color="auto"/>
                <w:bottom w:val="none" w:sz="0" w:space="0" w:color="auto"/>
                <w:right w:val="none" w:sz="0" w:space="0" w:color="auto"/>
              </w:divBdr>
              <w:divsChild>
                <w:div w:id="6018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443057">
          <w:marLeft w:val="0"/>
          <w:marRight w:val="0"/>
          <w:marTop w:val="60"/>
          <w:marBottom w:val="60"/>
          <w:divBdr>
            <w:top w:val="none" w:sz="0" w:space="0" w:color="FFFFFF"/>
            <w:left w:val="none" w:sz="0" w:space="0" w:color="FFFFFF"/>
            <w:bottom w:val="none" w:sz="0" w:space="0" w:color="FFFFFF"/>
            <w:right w:val="none" w:sz="0" w:space="0" w:color="FFFFFF"/>
          </w:divBdr>
        </w:div>
        <w:div w:id="1813789315">
          <w:marLeft w:val="0"/>
          <w:marRight w:val="0"/>
          <w:marTop w:val="60"/>
          <w:marBottom w:val="60"/>
          <w:divBdr>
            <w:top w:val="none" w:sz="0" w:space="0" w:color="FFFFFF"/>
            <w:left w:val="none" w:sz="0" w:space="0" w:color="FFFFFF"/>
            <w:bottom w:val="none" w:sz="0" w:space="0" w:color="FFFFFF"/>
            <w:right w:val="none" w:sz="0" w:space="0" w:color="FFFFFF"/>
          </w:divBdr>
        </w:div>
        <w:div w:id="1952669085">
          <w:marLeft w:val="0"/>
          <w:marRight w:val="0"/>
          <w:marTop w:val="60"/>
          <w:marBottom w:val="60"/>
          <w:divBdr>
            <w:top w:val="none" w:sz="0" w:space="0" w:color="FFFFFF"/>
            <w:left w:val="none" w:sz="0" w:space="0" w:color="FFFFFF"/>
            <w:bottom w:val="none" w:sz="0" w:space="0" w:color="FFFFFF"/>
            <w:right w:val="none" w:sz="0" w:space="0" w:color="FFFFFF"/>
          </w:divBdr>
          <w:divsChild>
            <w:div w:id="606280252">
              <w:marLeft w:val="450"/>
              <w:marRight w:val="0"/>
              <w:marTop w:val="75"/>
              <w:marBottom w:val="75"/>
              <w:divBdr>
                <w:top w:val="none" w:sz="0" w:space="0" w:color="auto"/>
                <w:left w:val="none" w:sz="0" w:space="0" w:color="auto"/>
                <w:bottom w:val="none" w:sz="0" w:space="0" w:color="auto"/>
                <w:right w:val="none" w:sz="0" w:space="0" w:color="auto"/>
              </w:divBdr>
              <w:divsChild>
                <w:div w:id="1229222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6981208">
          <w:marLeft w:val="0"/>
          <w:marRight w:val="0"/>
          <w:marTop w:val="60"/>
          <w:marBottom w:val="60"/>
          <w:divBdr>
            <w:top w:val="none" w:sz="0" w:space="0" w:color="FFFFFF"/>
            <w:left w:val="none" w:sz="0" w:space="0" w:color="FFFFFF"/>
            <w:bottom w:val="none" w:sz="0" w:space="0" w:color="FFFFFF"/>
            <w:right w:val="none" w:sz="0" w:space="0" w:color="FFFFFF"/>
          </w:divBdr>
          <w:divsChild>
            <w:div w:id="424500108">
              <w:marLeft w:val="240"/>
              <w:marRight w:val="0"/>
              <w:marTop w:val="0"/>
              <w:marBottom w:val="0"/>
              <w:divBdr>
                <w:top w:val="none" w:sz="0" w:space="0" w:color="auto"/>
                <w:left w:val="none" w:sz="0" w:space="0" w:color="auto"/>
                <w:bottom w:val="none" w:sz="0" w:space="0" w:color="auto"/>
                <w:right w:val="none" w:sz="0" w:space="0" w:color="auto"/>
              </w:divBdr>
            </w:div>
          </w:divsChild>
        </w:div>
        <w:div w:id="1296909283">
          <w:marLeft w:val="0"/>
          <w:marRight w:val="0"/>
          <w:marTop w:val="60"/>
          <w:marBottom w:val="60"/>
          <w:divBdr>
            <w:top w:val="none" w:sz="0" w:space="0" w:color="FFFFFF"/>
            <w:left w:val="none" w:sz="0" w:space="0" w:color="FFFFFF"/>
            <w:bottom w:val="none" w:sz="0" w:space="0" w:color="FFFFFF"/>
            <w:right w:val="none" w:sz="0" w:space="0" w:color="FFFFFF"/>
          </w:divBdr>
        </w:div>
        <w:div w:id="1375151737">
          <w:marLeft w:val="0"/>
          <w:marRight w:val="0"/>
          <w:marTop w:val="60"/>
          <w:marBottom w:val="60"/>
          <w:divBdr>
            <w:top w:val="none" w:sz="0" w:space="0" w:color="FFFFFF"/>
            <w:left w:val="none" w:sz="0" w:space="0" w:color="FFFFFF"/>
            <w:bottom w:val="none" w:sz="0" w:space="0" w:color="FFFFFF"/>
            <w:right w:val="none" w:sz="0" w:space="0" w:color="FFFFFF"/>
          </w:divBdr>
          <w:divsChild>
            <w:div w:id="747338599">
              <w:marLeft w:val="450"/>
              <w:marRight w:val="0"/>
              <w:marTop w:val="75"/>
              <w:marBottom w:val="75"/>
              <w:divBdr>
                <w:top w:val="none" w:sz="0" w:space="0" w:color="auto"/>
                <w:left w:val="none" w:sz="0" w:space="0" w:color="auto"/>
                <w:bottom w:val="none" w:sz="0" w:space="0" w:color="auto"/>
                <w:right w:val="none" w:sz="0" w:space="0" w:color="auto"/>
              </w:divBdr>
              <w:divsChild>
                <w:div w:id="1227765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1959">
          <w:marLeft w:val="0"/>
          <w:marRight w:val="0"/>
          <w:marTop w:val="60"/>
          <w:marBottom w:val="60"/>
          <w:divBdr>
            <w:top w:val="none" w:sz="0" w:space="0" w:color="FFFFFF"/>
            <w:left w:val="none" w:sz="0" w:space="0" w:color="FFFFFF"/>
            <w:bottom w:val="none" w:sz="0" w:space="0" w:color="FFFFFF"/>
            <w:right w:val="none" w:sz="0" w:space="0" w:color="FFFFFF"/>
          </w:divBdr>
          <w:divsChild>
            <w:div w:id="932323998">
              <w:marLeft w:val="240"/>
              <w:marRight w:val="0"/>
              <w:marTop w:val="0"/>
              <w:marBottom w:val="0"/>
              <w:divBdr>
                <w:top w:val="none" w:sz="0" w:space="0" w:color="auto"/>
                <w:left w:val="none" w:sz="0" w:space="0" w:color="auto"/>
                <w:bottom w:val="none" w:sz="0" w:space="0" w:color="auto"/>
                <w:right w:val="none" w:sz="0" w:space="0" w:color="auto"/>
              </w:divBdr>
            </w:div>
          </w:divsChild>
        </w:div>
        <w:div w:id="410272394">
          <w:marLeft w:val="0"/>
          <w:marRight w:val="0"/>
          <w:marTop w:val="60"/>
          <w:marBottom w:val="60"/>
          <w:divBdr>
            <w:top w:val="none" w:sz="0" w:space="0" w:color="FFFFFF"/>
            <w:left w:val="none" w:sz="0" w:space="0" w:color="FFFFFF"/>
            <w:bottom w:val="none" w:sz="0" w:space="0" w:color="FFFFFF"/>
            <w:right w:val="none" w:sz="0" w:space="0" w:color="FFFFFF"/>
          </w:divBdr>
          <w:divsChild>
            <w:div w:id="1523399137">
              <w:marLeft w:val="0"/>
              <w:marRight w:val="0"/>
              <w:marTop w:val="0"/>
              <w:marBottom w:val="0"/>
              <w:divBdr>
                <w:top w:val="none" w:sz="0" w:space="0" w:color="auto"/>
                <w:left w:val="none" w:sz="0" w:space="0" w:color="auto"/>
                <w:bottom w:val="none" w:sz="0" w:space="0" w:color="auto"/>
                <w:right w:val="none" w:sz="0" w:space="0" w:color="auto"/>
              </w:divBdr>
              <w:divsChild>
                <w:div w:id="991525041">
                  <w:marLeft w:val="0"/>
                  <w:marRight w:val="0"/>
                  <w:marTop w:val="0"/>
                  <w:marBottom w:val="0"/>
                  <w:divBdr>
                    <w:top w:val="none" w:sz="0" w:space="0" w:color="auto"/>
                    <w:left w:val="none" w:sz="0" w:space="0" w:color="auto"/>
                    <w:bottom w:val="none" w:sz="0" w:space="0" w:color="auto"/>
                    <w:right w:val="none" w:sz="0" w:space="0" w:color="auto"/>
                  </w:divBdr>
                  <w:divsChild>
                    <w:div w:id="1420715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007">
          <w:marLeft w:val="0"/>
          <w:marRight w:val="0"/>
          <w:marTop w:val="60"/>
          <w:marBottom w:val="60"/>
          <w:divBdr>
            <w:top w:val="none" w:sz="0" w:space="0" w:color="FFFFFF"/>
            <w:left w:val="none" w:sz="0" w:space="0" w:color="FFFFFF"/>
            <w:bottom w:val="none" w:sz="0" w:space="0" w:color="FFFFFF"/>
            <w:right w:val="none" w:sz="0" w:space="0" w:color="FFFFFF"/>
          </w:divBdr>
        </w:div>
        <w:div w:id="1051878821">
          <w:marLeft w:val="0"/>
          <w:marRight w:val="0"/>
          <w:marTop w:val="60"/>
          <w:marBottom w:val="60"/>
          <w:divBdr>
            <w:top w:val="none" w:sz="0" w:space="0" w:color="FFFFFF"/>
            <w:left w:val="none" w:sz="0" w:space="0" w:color="FFFFFF"/>
            <w:bottom w:val="none" w:sz="0" w:space="0" w:color="FFFFFF"/>
            <w:right w:val="none" w:sz="0" w:space="0" w:color="FFFFFF"/>
          </w:divBdr>
        </w:div>
        <w:div w:id="182474224">
          <w:marLeft w:val="0"/>
          <w:marRight w:val="0"/>
          <w:marTop w:val="60"/>
          <w:marBottom w:val="60"/>
          <w:divBdr>
            <w:top w:val="none" w:sz="0" w:space="0" w:color="FFFFFF"/>
            <w:left w:val="none" w:sz="0" w:space="0" w:color="FFFFFF"/>
            <w:bottom w:val="none" w:sz="0" w:space="0" w:color="FFFFFF"/>
            <w:right w:val="none" w:sz="0" w:space="0" w:color="FFFFFF"/>
          </w:divBdr>
        </w:div>
        <w:div w:id="207880813">
          <w:marLeft w:val="0"/>
          <w:marRight w:val="0"/>
          <w:marTop w:val="60"/>
          <w:marBottom w:val="60"/>
          <w:divBdr>
            <w:top w:val="none" w:sz="0" w:space="0" w:color="FFFFFF"/>
            <w:left w:val="none" w:sz="0" w:space="0" w:color="FFFFFF"/>
            <w:bottom w:val="none" w:sz="0" w:space="0" w:color="FFFFFF"/>
            <w:right w:val="none" w:sz="0" w:space="0" w:color="FFFFFF"/>
          </w:divBdr>
        </w:div>
        <w:div w:id="636378739">
          <w:marLeft w:val="0"/>
          <w:marRight w:val="0"/>
          <w:marTop w:val="60"/>
          <w:marBottom w:val="60"/>
          <w:divBdr>
            <w:top w:val="none" w:sz="0" w:space="0" w:color="FFFFFF"/>
            <w:left w:val="none" w:sz="0" w:space="0" w:color="FFFFFF"/>
            <w:bottom w:val="none" w:sz="0" w:space="0" w:color="FFFFFF"/>
            <w:right w:val="none" w:sz="0" w:space="0" w:color="FFFFFF"/>
          </w:divBdr>
        </w:div>
        <w:div w:id="74515579">
          <w:marLeft w:val="0"/>
          <w:marRight w:val="0"/>
          <w:marTop w:val="60"/>
          <w:marBottom w:val="60"/>
          <w:divBdr>
            <w:top w:val="none" w:sz="0" w:space="0" w:color="FFFFFF"/>
            <w:left w:val="none" w:sz="0" w:space="0" w:color="FFFFFF"/>
            <w:bottom w:val="none" w:sz="0" w:space="0" w:color="FFFFFF"/>
            <w:right w:val="none" w:sz="0" w:space="0" w:color="FFFFFF"/>
          </w:divBdr>
        </w:div>
        <w:div w:id="1617054854">
          <w:marLeft w:val="0"/>
          <w:marRight w:val="0"/>
          <w:marTop w:val="60"/>
          <w:marBottom w:val="60"/>
          <w:divBdr>
            <w:top w:val="none" w:sz="0" w:space="0" w:color="FFFFFF"/>
            <w:left w:val="none" w:sz="0" w:space="0" w:color="FFFFFF"/>
            <w:bottom w:val="none" w:sz="0" w:space="0" w:color="FFFFFF"/>
            <w:right w:val="none" w:sz="0" w:space="0" w:color="FFFFFF"/>
          </w:divBdr>
        </w:div>
        <w:div w:id="1491095847">
          <w:marLeft w:val="0"/>
          <w:marRight w:val="0"/>
          <w:marTop w:val="60"/>
          <w:marBottom w:val="60"/>
          <w:divBdr>
            <w:top w:val="none" w:sz="0" w:space="0" w:color="0B5940"/>
            <w:left w:val="none" w:sz="0" w:space="0" w:color="0B5940"/>
            <w:bottom w:val="none" w:sz="0" w:space="0" w:color="0B5940"/>
            <w:right w:val="none" w:sz="0" w:space="0" w:color="0B5940"/>
          </w:divBdr>
        </w:div>
        <w:div w:id="1936859575">
          <w:marLeft w:val="0"/>
          <w:marRight w:val="0"/>
          <w:marTop w:val="60"/>
          <w:marBottom w:val="60"/>
          <w:divBdr>
            <w:top w:val="none" w:sz="0" w:space="0" w:color="FFFFFF"/>
            <w:left w:val="none" w:sz="0" w:space="0" w:color="FFFFFF"/>
            <w:bottom w:val="none" w:sz="0" w:space="0" w:color="FFFFFF"/>
            <w:right w:val="none" w:sz="0" w:space="0" w:color="FFFFFF"/>
          </w:divBdr>
        </w:div>
        <w:div w:id="356126317">
          <w:marLeft w:val="0"/>
          <w:marRight w:val="0"/>
          <w:marTop w:val="60"/>
          <w:marBottom w:val="60"/>
          <w:divBdr>
            <w:top w:val="none" w:sz="0" w:space="0" w:color="FFFFFF"/>
            <w:left w:val="none" w:sz="0" w:space="0" w:color="FFFFFF"/>
            <w:bottom w:val="none" w:sz="0" w:space="0" w:color="FFFFFF"/>
            <w:right w:val="none" w:sz="0" w:space="0" w:color="FFFFFF"/>
          </w:divBdr>
          <w:divsChild>
            <w:div w:id="68315304">
              <w:marLeft w:val="0"/>
              <w:marRight w:val="0"/>
              <w:marTop w:val="120"/>
              <w:marBottom w:val="0"/>
              <w:divBdr>
                <w:top w:val="none" w:sz="0" w:space="0" w:color="auto"/>
                <w:left w:val="none" w:sz="0" w:space="0" w:color="auto"/>
                <w:bottom w:val="none" w:sz="0" w:space="0" w:color="auto"/>
                <w:right w:val="none" w:sz="0" w:space="0" w:color="auto"/>
              </w:divBdr>
            </w:div>
            <w:div w:id="767039777">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867597372">
      <w:bodyDiv w:val="1"/>
      <w:marLeft w:val="0"/>
      <w:marRight w:val="0"/>
      <w:marTop w:val="0"/>
      <w:marBottom w:val="0"/>
      <w:divBdr>
        <w:top w:val="none" w:sz="0" w:space="0" w:color="auto"/>
        <w:left w:val="none" w:sz="0" w:space="0" w:color="auto"/>
        <w:bottom w:val="none" w:sz="0" w:space="0" w:color="auto"/>
        <w:right w:val="none" w:sz="0" w:space="0" w:color="auto"/>
      </w:divBdr>
      <w:divsChild>
        <w:div w:id="652173925">
          <w:marLeft w:val="240"/>
          <w:marRight w:val="0"/>
          <w:marTop w:val="0"/>
          <w:marBottom w:val="0"/>
          <w:divBdr>
            <w:top w:val="none" w:sz="0" w:space="0" w:color="auto"/>
            <w:left w:val="none" w:sz="0" w:space="0" w:color="auto"/>
            <w:bottom w:val="none" w:sz="0" w:space="0" w:color="auto"/>
            <w:right w:val="none" w:sz="0" w:space="0" w:color="auto"/>
          </w:divBdr>
        </w:div>
      </w:divsChild>
    </w:div>
    <w:div w:id="1959141365">
      <w:bodyDiv w:val="1"/>
      <w:marLeft w:val="0"/>
      <w:marRight w:val="0"/>
      <w:marTop w:val="0"/>
      <w:marBottom w:val="0"/>
      <w:divBdr>
        <w:top w:val="none" w:sz="0" w:space="0" w:color="auto"/>
        <w:left w:val="none" w:sz="0" w:space="0" w:color="auto"/>
        <w:bottom w:val="none" w:sz="0" w:space="0" w:color="auto"/>
        <w:right w:val="none" w:sz="0" w:space="0" w:color="auto"/>
      </w:divBdr>
      <w:divsChild>
        <w:div w:id="724373465">
          <w:marLeft w:val="0"/>
          <w:marRight w:val="0"/>
          <w:marTop w:val="60"/>
          <w:marBottom w:val="60"/>
          <w:divBdr>
            <w:top w:val="none" w:sz="0" w:space="0" w:color="FFFFFF"/>
            <w:left w:val="none" w:sz="0" w:space="0" w:color="FFFFFF"/>
            <w:bottom w:val="none" w:sz="0" w:space="0" w:color="FFFFFF"/>
            <w:right w:val="none" w:sz="0" w:space="0" w:color="FFFFFF"/>
          </w:divBdr>
          <w:divsChild>
            <w:div w:id="1136996793">
              <w:marLeft w:val="450"/>
              <w:marRight w:val="0"/>
              <w:marTop w:val="75"/>
              <w:marBottom w:val="75"/>
              <w:divBdr>
                <w:top w:val="none" w:sz="0" w:space="0" w:color="auto"/>
                <w:left w:val="none" w:sz="0" w:space="0" w:color="auto"/>
                <w:bottom w:val="none" w:sz="0" w:space="0" w:color="auto"/>
                <w:right w:val="none" w:sz="0" w:space="0" w:color="auto"/>
              </w:divBdr>
              <w:divsChild>
                <w:div w:id="2079090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9831495">
          <w:marLeft w:val="0"/>
          <w:marRight w:val="0"/>
          <w:marTop w:val="60"/>
          <w:marBottom w:val="60"/>
          <w:divBdr>
            <w:top w:val="none" w:sz="0" w:space="0" w:color="FFFFFF"/>
            <w:left w:val="none" w:sz="0" w:space="0" w:color="FFFFFF"/>
            <w:bottom w:val="none" w:sz="0" w:space="0" w:color="FFFFFF"/>
            <w:right w:val="none" w:sz="0" w:space="0" w:color="FFFFFF"/>
          </w:divBdr>
          <w:divsChild>
            <w:div w:id="320472899">
              <w:marLeft w:val="450"/>
              <w:marRight w:val="0"/>
              <w:marTop w:val="75"/>
              <w:marBottom w:val="75"/>
              <w:divBdr>
                <w:top w:val="none" w:sz="0" w:space="0" w:color="auto"/>
                <w:left w:val="none" w:sz="0" w:space="0" w:color="auto"/>
                <w:bottom w:val="none" w:sz="0" w:space="0" w:color="auto"/>
                <w:right w:val="none" w:sz="0" w:space="0" w:color="auto"/>
              </w:divBdr>
            </w:div>
          </w:divsChild>
        </w:div>
        <w:div w:id="49773907">
          <w:marLeft w:val="0"/>
          <w:marRight w:val="0"/>
          <w:marTop w:val="60"/>
          <w:marBottom w:val="60"/>
          <w:divBdr>
            <w:top w:val="none" w:sz="0" w:space="0" w:color="FFFFFF"/>
            <w:left w:val="none" w:sz="0" w:space="0" w:color="FFFFFF"/>
            <w:bottom w:val="none" w:sz="0" w:space="0" w:color="FFFFFF"/>
            <w:right w:val="none" w:sz="0" w:space="0" w:color="FFFFFF"/>
          </w:divBdr>
        </w:div>
        <w:div w:id="214509355">
          <w:marLeft w:val="0"/>
          <w:marRight w:val="0"/>
          <w:marTop w:val="60"/>
          <w:marBottom w:val="60"/>
          <w:divBdr>
            <w:top w:val="none" w:sz="0" w:space="0" w:color="FFFFFF"/>
            <w:left w:val="none" w:sz="0" w:space="0" w:color="FFFFFF"/>
            <w:bottom w:val="none" w:sz="0" w:space="0" w:color="FFFFFF"/>
            <w:right w:val="none" w:sz="0" w:space="0" w:color="FFFFFF"/>
          </w:divBdr>
        </w:div>
        <w:div w:id="930742895">
          <w:marLeft w:val="0"/>
          <w:marRight w:val="0"/>
          <w:marTop w:val="60"/>
          <w:marBottom w:val="60"/>
          <w:divBdr>
            <w:top w:val="none" w:sz="0" w:space="0" w:color="FFFFFF"/>
            <w:left w:val="none" w:sz="0" w:space="0" w:color="FFFFFF"/>
            <w:bottom w:val="none" w:sz="0" w:space="0" w:color="FFFFFF"/>
            <w:right w:val="none" w:sz="0" w:space="0" w:color="FFFFFF"/>
          </w:divBdr>
        </w:div>
        <w:div w:id="352612034">
          <w:marLeft w:val="0"/>
          <w:marRight w:val="0"/>
          <w:marTop w:val="60"/>
          <w:marBottom w:val="60"/>
          <w:divBdr>
            <w:top w:val="none" w:sz="0" w:space="0" w:color="FFFFFF"/>
            <w:left w:val="none" w:sz="0" w:space="0" w:color="FFFFFF"/>
            <w:bottom w:val="none" w:sz="0" w:space="0" w:color="FFFFFF"/>
            <w:right w:val="none" w:sz="0" w:space="0" w:color="FFFFFF"/>
          </w:divBdr>
          <w:divsChild>
            <w:div w:id="758910073">
              <w:marLeft w:val="240"/>
              <w:marRight w:val="0"/>
              <w:marTop w:val="0"/>
              <w:marBottom w:val="0"/>
              <w:divBdr>
                <w:top w:val="none" w:sz="0" w:space="0" w:color="auto"/>
                <w:left w:val="none" w:sz="0" w:space="0" w:color="auto"/>
                <w:bottom w:val="none" w:sz="0" w:space="0" w:color="auto"/>
                <w:right w:val="none" w:sz="0" w:space="0" w:color="auto"/>
              </w:divBdr>
              <w:divsChild>
                <w:div w:id="1338732698">
                  <w:marLeft w:val="960"/>
                  <w:marRight w:val="0"/>
                  <w:marTop w:val="75"/>
                  <w:marBottom w:val="75"/>
                  <w:divBdr>
                    <w:top w:val="none" w:sz="0" w:space="0" w:color="auto"/>
                    <w:left w:val="none" w:sz="0" w:space="0" w:color="auto"/>
                    <w:bottom w:val="none" w:sz="0" w:space="0" w:color="auto"/>
                    <w:right w:val="none" w:sz="0" w:space="0" w:color="auto"/>
                  </w:divBdr>
                </w:div>
                <w:div w:id="160703850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514882185">
          <w:marLeft w:val="0"/>
          <w:marRight w:val="0"/>
          <w:marTop w:val="60"/>
          <w:marBottom w:val="60"/>
          <w:divBdr>
            <w:top w:val="none" w:sz="0" w:space="0" w:color="FFFFFF"/>
            <w:left w:val="none" w:sz="0" w:space="0" w:color="FFFFFF"/>
            <w:bottom w:val="none" w:sz="0" w:space="0" w:color="FFFFFF"/>
            <w:right w:val="none" w:sz="0" w:space="0" w:color="FFFFFF"/>
          </w:divBdr>
          <w:divsChild>
            <w:div w:id="801264593">
              <w:marLeft w:val="450"/>
              <w:marRight w:val="0"/>
              <w:marTop w:val="75"/>
              <w:marBottom w:val="75"/>
              <w:divBdr>
                <w:top w:val="none" w:sz="0" w:space="0" w:color="auto"/>
                <w:left w:val="none" w:sz="0" w:space="0" w:color="auto"/>
                <w:bottom w:val="none" w:sz="0" w:space="0" w:color="auto"/>
                <w:right w:val="none" w:sz="0" w:space="0" w:color="auto"/>
              </w:divBdr>
            </w:div>
          </w:divsChild>
        </w:div>
        <w:div w:id="1910649975">
          <w:marLeft w:val="0"/>
          <w:marRight w:val="0"/>
          <w:marTop w:val="60"/>
          <w:marBottom w:val="60"/>
          <w:divBdr>
            <w:top w:val="none" w:sz="0" w:space="0" w:color="FFFFFF"/>
            <w:left w:val="none" w:sz="0" w:space="0" w:color="FFFFFF"/>
            <w:bottom w:val="none" w:sz="0" w:space="0" w:color="FFFFFF"/>
            <w:right w:val="none" w:sz="0" w:space="0" w:color="FFFFFF"/>
          </w:divBdr>
          <w:divsChild>
            <w:div w:id="180171445">
              <w:marLeft w:val="240"/>
              <w:marRight w:val="0"/>
              <w:marTop w:val="0"/>
              <w:marBottom w:val="0"/>
              <w:divBdr>
                <w:top w:val="none" w:sz="0" w:space="0" w:color="auto"/>
                <w:left w:val="none" w:sz="0" w:space="0" w:color="auto"/>
                <w:bottom w:val="none" w:sz="0" w:space="0" w:color="auto"/>
                <w:right w:val="none" w:sz="0" w:space="0" w:color="auto"/>
              </w:divBdr>
              <w:divsChild>
                <w:div w:id="5327180">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69365751">
          <w:marLeft w:val="0"/>
          <w:marRight w:val="0"/>
          <w:marTop w:val="60"/>
          <w:marBottom w:val="60"/>
          <w:divBdr>
            <w:top w:val="none" w:sz="0" w:space="0" w:color="FFFFFF"/>
            <w:left w:val="none" w:sz="0" w:space="0" w:color="FFFFFF"/>
            <w:bottom w:val="none" w:sz="0" w:space="0" w:color="FFFFFF"/>
            <w:right w:val="none" w:sz="0" w:space="0" w:color="FFFFFF"/>
          </w:divBdr>
        </w:div>
        <w:div w:id="1285114064">
          <w:marLeft w:val="0"/>
          <w:marRight w:val="0"/>
          <w:marTop w:val="60"/>
          <w:marBottom w:val="60"/>
          <w:divBdr>
            <w:top w:val="none" w:sz="0" w:space="0" w:color="FFFFFF"/>
            <w:left w:val="none" w:sz="0" w:space="0" w:color="FFFFFF"/>
            <w:bottom w:val="none" w:sz="0" w:space="0" w:color="FFFFFF"/>
            <w:right w:val="none" w:sz="0" w:space="0" w:color="FFFFFF"/>
          </w:divBdr>
        </w:div>
        <w:div w:id="671129">
          <w:marLeft w:val="0"/>
          <w:marRight w:val="0"/>
          <w:marTop w:val="60"/>
          <w:marBottom w:val="60"/>
          <w:divBdr>
            <w:top w:val="none" w:sz="0" w:space="0" w:color="FFFFFF"/>
            <w:left w:val="none" w:sz="0" w:space="0" w:color="FFFFFF"/>
            <w:bottom w:val="none" w:sz="0" w:space="0" w:color="FFFFFF"/>
            <w:right w:val="none" w:sz="0" w:space="0" w:color="FFFFFF"/>
          </w:divBdr>
        </w:div>
        <w:div w:id="994801294">
          <w:marLeft w:val="0"/>
          <w:marRight w:val="0"/>
          <w:marTop w:val="60"/>
          <w:marBottom w:val="60"/>
          <w:divBdr>
            <w:top w:val="none" w:sz="0" w:space="0" w:color="FFFFFF"/>
            <w:left w:val="none" w:sz="0" w:space="0" w:color="FFFFFF"/>
            <w:bottom w:val="none" w:sz="0" w:space="0" w:color="FFFFFF"/>
            <w:right w:val="none" w:sz="0" w:space="0" w:color="FFFFFF"/>
          </w:divBdr>
        </w:div>
        <w:div w:id="1784379623">
          <w:marLeft w:val="0"/>
          <w:marRight w:val="0"/>
          <w:marTop w:val="60"/>
          <w:marBottom w:val="60"/>
          <w:divBdr>
            <w:top w:val="none" w:sz="0" w:space="0" w:color="0B5940"/>
            <w:left w:val="none" w:sz="0" w:space="0" w:color="0B5940"/>
            <w:bottom w:val="none" w:sz="0" w:space="0" w:color="0B5940"/>
            <w:right w:val="none" w:sz="0" w:space="0" w:color="0B5940"/>
          </w:divBdr>
          <w:divsChild>
            <w:div w:id="827672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32641">
      <w:bodyDiv w:val="1"/>
      <w:marLeft w:val="0"/>
      <w:marRight w:val="0"/>
      <w:marTop w:val="0"/>
      <w:marBottom w:val="0"/>
      <w:divBdr>
        <w:top w:val="none" w:sz="0" w:space="0" w:color="auto"/>
        <w:left w:val="none" w:sz="0" w:space="0" w:color="auto"/>
        <w:bottom w:val="none" w:sz="0" w:space="0" w:color="auto"/>
        <w:right w:val="none" w:sz="0" w:space="0" w:color="auto"/>
      </w:divBdr>
      <w:divsChild>
        <w:div w:id="1559047875">
          <w:marLeft w:val="0"/>
          <w:marRight w:val="0"/>
          <w:marTop w:val="0"/>
          <w:marBottom w:val="0"/>
          <w:divBdr>
            <w:top w:val="none" w:sz="0" w:space="0" w:color="auto"/>
            <w:left w:val="none" w:sz="0" w:space="0" w:color="auto"/>
            <w:bottom w:val="none" w:sz="0" w:space="0" w:color="auto"/>
            <w:right w:val="none" w:sz="0" w:space="0" w:color="auto"/>
          </w:divBdr>
        </w:div>
        <w:div w:id="359403399">
          <w:marLeft w:val="0"/>
          <w:marRight w:val="0"/>
          <w:marTop w:val="0"/>
          <w:marBottom w:val="0"/>
          <w:divBdr>
            <w:top w:val="none" w:sz="0" w:space="0" w:color="auto"/>
            <w:left w:val="none" w:sz="0" w:space="0" w:color="auto"/>
            <w:bottom w:val="none" w:sz="0" w:space="0" w:color="auto"/>
            <w:right w:val="none" w:sz="0" w:space="0" w:color="auto"/>
          </w:divBdr>
        </w:div>
        <w:div w:id="723794191">
          <w:marLeft w:val="0"/>
          <w:marRight w:val="0"/>
          <w:marTop w:val="0"/>
          <w:marBottom w:val="0"/>
          <w:divBdr>
            <w:top w:val="none" w:sz="0" w:space="0" w:color="auto"/>
            <w:left w:val="none" w:sz="0" w:space="0" w:color="auto"/>
            <w:bottom w:val="none" w:sz="0" w:space="0" w:color="auto"/>
            <w:right w:val="none" w:sz="0" w:space="0" w:color="auto"/>
          </w:divBdr>
        </w:div>
        <w:div w:id="2087876717">
          <w:marLeft w:val="0"/>
          <w:marRight w:val="0"/>
          <w:marTop w:val="0"/>
          <w:marBottom w:val="0"/>
          <w:divBdr>
            <w:top w:val="none" w:sz="0" w:space="0" w:color="auto"/>
            <w:left w:val="none" w:sz="0" w:space="0" w:color="auto"/>
            <w:bottom w:val="none" w:sz="0" w:space="0" w:color="auto"/>
            <w:right w:val="none" w:sz="0" w:space="0" w:color="auto"/>
          </w:divBdr>
        </w:div>
        <w:div w:id="270817700">
          <w:marLeft w:val="0"/>
          <w:marRight w:val="0"/>
          <w:marTop w:val="0"/>
          <w:marBottom w:val="0"/>
          <w:divBdr>
            <w:top w:val="none" w:sz="0" w:space="0" w:color="auto"/>
            <w:left w:val="none" w:sz="0" w:space="0" w:color="auto"/>
            <w:bottom w:val="none" w:sz="0" w:space="0" w:color="auto"/>
            <w:right w:val="none" w:sz="0" w:space="0" w:color="auto"/>
          </w:divBdr>
        </w:div>
        <w:div w:id="2064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codes.iccsafe.org/lookup/CAEC%E2%80%9419/3352" TargetMode="External"/><Relationship Id="rId26" Type="http://schemas.openxmlformats.org/officeDocument/2006/relationships/hyperlink" Target="https://codes.iccsafe.org/lookup/CBC2019P1_Ch11A_SubCh02_Sec1109A/3352" TargetMode="External"/><Relationship Id="rId3" Type="http://schemas.openxmlformats.org/officeDocument/2006/relationships/customXml" Target="../customXml/item3.xml"/><Relationship Id="rId21" Type="http://schemas.openxmlformats.org/officeDocument/2006/relationships/hyperlink" Target="https://codes.iccsafe.org/lookup/CABC2022P3_Ch11B/335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des.iccsafe.org/lookup/CAEC%E2%80%9419/3352" TargetMode="External"/><Relationship Id="rId25" Type="http://schemas.openxmlformats.org/officeDocument/2006/relationships/hyperlink" Target="https://codes.iccsafe.org/lookup/CBC2019P1_Ch11B/3352" TargetMode="External"/><Relationship Id="rId33" Type="http://schemas.openxmlformats.org/officeDocument/2006/relationships/hyperlink" Target="https://codes.iccsafe.org/lookup/CAEC%E2%80%9419/3352"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codes.iccsafe.org/lookup/CAGBC2022P3_Ch04_SubCh4.1_Sec4.106.4.2.2.1.1/3352" TargetMode="External"/><Relationship Id="rId29" Type="http://schemas.openxmlformats.org/officeDocument/2006/relationships/hyperlink" Target="https://codes.iccsafe.org/lookup/CBC2019P1_Ch11B_SubCh02_Sec11B_228.3/33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des.iccsafe.org/lookup/CABC2022P3_Ch11B/3352" TargetMode="External"/><Relationship Id="rId32" Type="http://schemas.openxmlformats.org/officeDocument/2006/relationships/hyperlink" Target="https://codes.iccsafe.org/lookup/CAEC%E2%80%9419/3352"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codes.iccsafe.org/lookup/CAGBC2022P3_Ch02/3352" TargetMode="External"/><Relationship Id="rId28" Type="http://schemas.openxmlformats.org/officeDocument/2006/relationships/hyperlink" Target="https://codes.iccsafe.org/lookup/CBC%E2%80%9422/335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s.iccsafe.org/lookup/CAGBC2022P3_Ch04_SubCh4.1_Sec4.106.4.2.2/3352" TargetMode="External"/><Relationship Id="rId31" Type="http://schemas.openxmlformats.org/officeDocument/2006/relationships/hyperlink" Target="https://codes.iccsafe.org/lookup/CBC%E2%80%9422/33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codes.iccsafe.org/lookup/CABC2022P3_Ch11A/3352" TargetMode="External"/><Relationship Id="rId27" Type="http://schemas.openxmlformats.org/officeDocument/2006/relationships/hyperlink" Target="https://codes.iccsafe.org/lookup/CBC2019P1_Ch11B_SubCh02_Sec11B_228.3/3352" TargetMode="External"/><Relationship Id="rId30" Type="http://schemas.openxmlformats.org/officeDocument/2006/relationships/hyperlink" Target="https://codes.iccsafe.org/lookup/CBC2019P1_Ch11B_SubCh02_Sec11B_228.3/3352"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46296CF82C314EA2BF4C06D0D8BCE0" ma:contentTypeVersion="" ma:contentTypeDescription="Create a new document." ma:contentTypeScope="" ma:versionID="9e0def4f9f1d5abe731a84cea177f92b">
  <xsd:schema xmlns:xsd="http://www.w3.org/2001/XMLSchema" xmlns:xs="http://www.w3.org/2001/XMLSchema" xmlns:p="http://schemas.microsoft.com/office/2006/metadata/properties" xmlns:ns1="http://schemas.microsoft.com/sharepoint/v3" xmlns:ns2="07dc9e49-d90e-46cd-8790-3ae28d568790" xmlns:ns3="879a6e62-23c8-4734-be89-b1a1dd95b2e1" xmlns:ns4="f08ec9a6-b51a-4c00-ad15-c2c879b888f0" targetNamespace="http://schemas.microsoft.com/office/2006/metadata/properties" ma:root="true" ma:fieldsID="08512e64e873cf6d3385537ed10d5fc8" ns1:_="" ns2:_="" ns3:_="" ns4:_="">
    <xsd:import namespace="http://schemas.microsoft.com/sharepoint/v3"/>
    <xsd:import namespace="07dc9e49-d90e-46cd-8790-3ae28d568790"/>
    <xsd:import namespace="879a6e62-23c8-4734-be89-b1a1dd95b2e1"/>
    <xsd:import namespace="f08ec9a6-b51a-4c00-ad15-c2c879b888f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c9e49-d90e-46cd-8790-3ae28d5687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a6e62-23c8-4734-be89-b1a1dd95b2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dc9e49-d90e-46cd-8790-3ae28d568790">
      <Terms xmlns="http://schemas.microsoft.com/office/infopath/2007/PartnerControls"/>
    </lcf76f155ced4ddcb4097134ff3c332f>
    <TaxCatchAll xmlns="f08ec9a6-b51a-4c00-ad15-c2c879b888f0" xsi:nil="true"/>
    <PublishingExpirationDate xmlns="http://schemas.microsoft.com/sharepoint/v3" xsi:nil="true"/>
    <PublishingStartDate xmlns="http://schemas.microsoft.com/sharepoint/v3" xsi:nil="true"/>
    <SharedWithUsers xmlns="879a6e62-23c8-4734-be89-b1a1dd95b2e1">
      <UserInfo>
        <DisplayName>Farahmand, Farhad</DisplayName>
        <AccountId>40</AccountId>
        <AccountType/>
      </UserInfo>
      <UserInfo>
        <DisplayName>Taylor, Taylor</DisplayName>
        <AccountId>22947</AccountId>
        <AccountType/>
      </UserInfo>
      <UserInfo>
        <DisplayName>Gupta, Rohan</DisplayName>
        <AccountId>12931</AccountId>
        <AccountType/>
      </UserInfo>
      <UserInfo>
        <DisplayName>Mensalvas, Tim</DisplayName>
        <AccountId>11817</AccountId>
        <AccountType/>
      </UserInfo>
    </SharedWithUsers>
  </documentManagement>
</p:properties>
</file>

<file path=customXml/itemProps1.xml><?xml version="1.0" encoding="utf-8"?>
<ds:datastoreItem xmlns:ds="http://schemas.openxmlformats.org/officeDocument/2006/customXml" ds:itemID="{A0539782-A6A8-40C4-B4B0-206FE5E52FFC}">
  <ds:schemaRefs>
    <ds:schemaRef ds:uri="http://schemas.openxmlformats.org/officeDocument/2006/bibliography"/>
  </ds:schemaRefs>
</ds:datastoreItem>
</file>

<file path=customXml/itemProps2.xml><?xml version="1.0" encoding="utf-8"?>
<ds:datastoreItem xmlns:ds="http://schemas.openxmlformats.org/officeDocument/2006/customXml" ds:itemID="{E412C7C2-CD2D-49F3-BB66-97E28074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c9e49-d90e-46cd-8790-3ae28d568790"/>
    <ds:schemaRef ds:uri="879a6e62-23c8-4734-be89-b1a1dd95b2e1"/>
    <ds:schemaRef ds:uri="f08ec9a6-b51a-4c00-ad15-c2c879b8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F9F6D-AE14-41CB-95AA-28F37DF706C2}">
  <ds:schemaRefs>
    <ds:schemaRef ds:uri="http://schemas.microsoft.com/sharepoint/v3/contenttype/forms"/>
  </ds:schemaRefs>
</ds:datastoreItem>
</file>

<file path=customXml/itemProps4.xml><?xml version="1.0" encoding="utf-8"?>
<ds:datastoreItem xmlns:ds="http://schemas.openxmlformats.org/officeDocument/2006/customXml" ds:itemID="{906AB26C-ACEA-46E4-936A-A3DD1D9CEA7B}">
  <ds:schemaRefs>
    <ds:schemaRef ds:uri="http://schemas.microsoft.com/office/2006/metadata/properties"/>
    <ds:schemaRef ds:uri="http://schemas.microsoft.com/office/infopath/2007/PartnerControls"/>
    <ds:schemaRef ds:uri="07dc9e49-d90e-46cd-8790-3ae28d568790"/>
    <ds:schemaRef ds:uri="f08ec9a6-b51a-4c00-ad15-c2c879b888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22</Pages>
  <Words>6710</Words>
  <Characters>38252</Characters>
  <Application>Microsoft Office Word</Application>
  <DocSecurity>0</DocSecurity>
  <Lines>318</Lines>
  <Paragraphs>89</Paragraphs>
  <ScaleCrop>false</ScaleCrop>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Silcox, Calder</dc:creator>
  <cp:keywords/>
  <dc:description/>
  <cp:lastModifiedBy>Silcox, Calder</cp:lastModifiedBy>
  <cp:revision>15</cp:revision>
  <dcterms:created xsi:type="dcterms:W3CDTF">2024-03-11T22:10:00Z</dcterms:created>
  <dcterms:modified xsi:type="dcterms:W3CDTF">2024-03-26T01:56:00Z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0x010100A246296CF82C314EA2BF4C06D0D8BCE0</vt:lpwstr>
  </property>
  <property fmtid="{D5CDD505-2E9C-101B-9397-08002B2CF9AE}" pid="3" name="MediaServiceImageTags">
    <vt:lpwstr/>
  </property>
</Properties>
</file>